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F9ECF" w14:textId="3D404D92" w:rsidR="00723817" w:rsidRDefault="00280594" w:rsidP="00723817">
      <w:pPr>
        <w:spacing w:after="0" w:line="240" w:lineRule="auto"/>
        <w:rPr>
          <w:rFonts w:ascii="Century Gothic" w:eastAsia="Calibri" w:hAnsi="Century Gothic" w:cs="Times New Roman"/>
          <w:b/>
        </w:rPr>
      </w:pPr>
      <w:r w:rsidRPr="00723817">
        <w:rPr>
          <w:rFonts w:ascii="Calibri" w:eastAsia="Calibri" w:hAnsi="Calibri" w:cs="Times New Roman"/>
          <w:noProof/>
        </w:rPr>
        <w:drawing>
          <wp:anchor distT="0" distB="0" distL="114300" distR="114300" simplePos="0" relativeHeight="251659264" behindDoc="0" locked="0" layoutInCell="1" allowOverlap="1" wp14:anchorId="3FD58309" wp14:editId="66ECAE42">
            <wp:simplePos x="0" y="0"/>
            <wp:positionH relativeFrom="margin">
              <wp:align>center</wp:align>
            </wp:positionH>
            <wp:positionV relativeFrom="paragraph">
              <wp:posOffset>-5080</wp:posOffset>
            </wp:positionV>
            <wp:extent cx="1793240" cy="984885"/>
            <wp:effectExtent l="0" t="0" r="0" b="5715"/>
            <wp:wrapNone/>
            <wp:docPr id="6"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240" cy="984885"/>
                    </a:xfrm>
                    <a:prstGeom prst="rect">
                      <a:avLst/>
                    </a:prstGeom>
                  </pic:spPr>
                </pic:pic>
              </a:graphicData>
            </a:graphic>
          </wp:anchor>
        </w:drawing>
      </w:r>
      <w:r w:rsidRPr="00723817">
        <w:rPr>
          <w:rFonts w:ascii="Calibri" w:eastAsia="Calibri" w:hAnsi="Calibri" w:cs="Times New Roman"/>
          <w:noProof/>
          <w:sz w:val="28"/>
        </w:rPr>
        <w:drawing>
          <wp:anchor distT="0" distB="0" distL="114300" distR="114300" simplePos="0" relativeHeight="251661312" behindDoc="0" locked="0" layoutInCell="1" allowOverlap="1" wp14:anchorId="1B4760E4" wp14:editId="61C126E1">
            <wp:simplePos x="0" y="0"/>
            <wp:positionH relativeFrom="column">
              <wp:posOffset>4391204</wp:posOffset>
            </wp:positionH>
            <wp:positionV relativeFrom="paragraph">
              <wp:posOffset>-6180</wp:posOffset>
            </wp:positionV>
            <wp:extent cx="1852295" cy="850900"/>
            <wp:effectExtent l="0" t="0" r="0" b="6350"/>
            <wp:wrapNone/>
            <wp:docPr id="7" name="Picture 5" descr="https://diplomatist.com/wp-content/uploads/2020/09/gyh.jpg"/>
            <wp:cNvGraphicFramePr/>
            <a:graphic xmlns:a="http://schemas.openxmlformats.org/drawingml/2006/main">
              <a:graphicData uri="http://schemas.openxmlformats.org/drawingml/2006/picture">
                <pic:pic xmlns:pic="http://schemas.openxmlformats.org/drawingml/2006/picture">
                  <pic:nvPicPr>
                    <pic:cNvPr id="6" name="Picture 5" descr="https://diplomatist.com/wp-content/uploads/2020/09/gyh.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850900"/>
                    </a:xfrm>
                    <a:prstGeom prst="rect">
                      <a:avLst/>
                    </a:prstGeom>
                    <a:noFill/>
                    <a:ln>
                      <a:noFill/>
                    </a:ln>
                  </pic:spPr>
                </pic:pic>
              </a:graphicData>
            </a:graphic>
          </wp:anchor>
        </w:drawing>
      </w:r>
      <w:r w:rsidR="00723817">
        <w:rPr>
          <w:rFonts w:ascii="Century Gothic" w:eastAsia="Calibri" w:hAnsi="Century Gothic" w:cs="Times New Roman"/>
          <w:b/>
        </w:rPr>
        <w:t xml:space="preserve">               </w:t>
      </w:r>
      <w:r w:rsidRPr="00723817">
        <w:rPr>
          <w:rFonts w:ascii="Calibri" w:eastAsia="Calibri" w:hAnsi="Calibri" w:cs="Times New Roman"/>
          <w:noProof/>
          <w:sz w:val="28"/>
        </w:rPr>
        <w:drawing>
          <wp:inline distT="0" distB="0" distL="0" distR="0" wp14:anchorId="7B81AE54" wp14:editId="3909C6B9">
            <wp:extent cx="992514" cy="934629"/>
            <wp:effectExtent l="0" t="0" r="0" b="571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97854" name="Picture 687897854"/>
                    <pic:cNvPicPr/>
                  </pic:nvPicPr>
                  <pic:blipFill>
                    <a:blip r:embed="rId9"/>
                    <a:stretch>
                      <a:fillRect/>
                    </a:stretch>
                  </pic:blipFill>
                  <pic:spPr>
                    <a:xfrm>
                      <a:off x="0" y="0"/>
                      <a:ext cx="1018620" cy="959212"/>
                    </a:xfrm>
                    <a:prstGeom prst="rect">
                      <a:avLst/>
                    </a:prstGeom>
                  </pic:spPr>
                </pic:pic>
              </a:graphicData>
            </a:graphic>
          </wp:inline>
        </w:drawing>
      </w:r>
      <w:r w:rsidR="00723817">
        <w:rPr>
          <w:rFonts w:ascii="Century Gothic" w:eastAsia="Calibri" w:hAnsi="Century Gothic" w:cs="Times New Roman"/>
          <w:b/>
        </w:rPr>
        <w:t xml:space="preserve">                                                                              </w:t>
      </w:r>
    </w:p>
    <w:p w14:paraId="2CF81067" w14:textId="77777777" w:rsidR="00723817" w:rsidRDefault="00723817" w:rsidP="002C7263">
      <w:pPr>
        <w:spacing w:after="0" w:line="240" w:lineRule="auto"/>
        <w:jc w:val="center"/>
        <w:rPr>
          <w:rFonts w:ascii="Century Gothic" w:eastAsia="Calibri" w:hAnsi="Century Gothic" w:cs="Times New Roman"/>
          <w:b/>
        </w:rPr>
      </w:pPr>
    </w:p>
    <w:p w14:paraId="080A3EB3" w14:textId="13F71F5E" w:rsidR="00723817" w:rsidRDefault="00723817" w:rsidP="00723817">
      <w:pPr>
        <w:spacing w:after="0" w:line="240" w:lineRule="auto"/>
        <w:rPr>
          <w:rFonts w:ascii="Century Gothic" w:eastAsia="Calibri" w:hAnsi="Century Gothic" w:cs="Times New Roman"/>
          <w:b/>
        </w:rPr>
      </w:pPr>
      <w:r>
        <w:rPr>
          <w:rFonts w:ascii="Century Gothic" w:eastAsia="Calibri" w:hAnsi="Century Gothic" w:cs="Times New Roman"/>
          <w:b/>
        </w:rPr>
        <w:t>_______________________________________________________________________________________</w:t>
      </w:r>
    </w:p>
    <w:p w14:paraId="761CBA75" w14:textId="77777777" w:rsidR="00723817" w:rsidRDefault="00723817" w:rsidP="002C7263">
      <w:pPr>
        <w:spacing w:after="0" w:line="240" w:lineRule="auto"/>
        <w:jc w:val="center"/>
        <w:rPr>
          <w:rFonts w:ascii="Century Gothic" w:eastAsia="Calibri" w:hAnsi="Century Gothic" w:cs="Times New Roman"/>
          <w:b/>
        </w:rPr>
      </w:pPr>
    </w:p>
    <w:p w14:paraId="4498C634" w14:textId="0C13FEA5" w:rsidR="00445ACB" w:rsidRPr="00280594" w:rsidRDefault="00902B79" w:rsidP="002C7263">
      <w:pPr>
        <w:spacing w:after="0" w:line="240" w:lineRule="auto"/>
        <w:jc w:val="center"/>
        <w:rPr>
          <w:rFonts w:ascii="Maiandra GD" w:eastAsia="Calibri" w:hAnsi="Maiandra GD" w:cs="Times New Roman"/>
          <w:b/>
          <w:sz w:val="20"/>
          <w:szCs w:val="20"/>
        </w:rPr>
      </w:pPr>
      <w:r w:rsidRPr="00280594">
        <w:rPr>
          <w:rFonts w:ascii="Maiandra GD" w:eastAsia="Calibri" w:hAnsi="Maiandra GD" w:cs="Times New Roman"/>
          <w:b/>
          <w:sz w:val="20"/>
          <w:szCs w:val="20"/>
        </w:rPr>
        <w:t xml:space="preserve">OFFICE OF THE PRIME CABINET SECRETARY AND </w:t>
      </w:r>
      <w:r w:rsidR="00FB5F97" w:rsidRPr="00280594">
        <w:rPr>
          <w:rFonts w:ascii="Maiandra GD" w:eastAsia="Calibri" w:hAnsi="Maiandra GD" w:cs="Times New Roman"/>
          <w:b/>
          <w:sz w:val="20"/>
          <w:szCs w:val="20"/>
        </w:rPr>
        <w:t>MINISTRY OF FOREIGN AND DIASPORA AFFAIRS</w:t>
      </w:r>
    </w:p>
    <w:p w14:paraId="618F4833" w14:textId="2104D637" w:rsidR="00445ACB" w:rsidRPr="00280594" w:rsidRDefault="003A59E5" w:rsidP="002C7263">
      <w:pPr>
        <w:spacing w:after="0" w:line="240" w:lineRule="auto"/>
        <w:jc w:val="center"/>
        <w:rPr>
          <w:rFonts w:ascii="Maiandra GD" w:eastAsia="Calibri" w:hAnsi="Maiandra GD" w:cs="Times New Roman"/>
          <w:b/>
          <w:sz w:val="20"/>
          <w:szCs w:val="20"/>
        </w:rPr>
      </w:pPr>
      <w:r w:rsidRPr="00280594">
        <w:rPr>
          <w:rFonts w:ascii="Maiandra GD" w:eastAsia="Calibri" w:hAnsi="Maiandra GD" w:cs="Times New Roman"/>
          <w:b/>
          <w:sz w:val="20"/>
          <w:szCs w:val="20"/>
        </w:rPr>
        <w:t>STATE DEPARTMENT FOR</w:t>
      </w:r>
      <w:r w:rsidR="00FB5F97" w:rsidRPr="00280594">
        <w:rPr>
          <w:rFonts w:ascii="Maiandra GD" w:eastAsia="Calibri" w:hAnsi="Maiandra GD" w:cs="Times New Roman"/>
          <w:b/>
          <w:sz w:val="20"/>
          <w:szCs w:val="20"/>
        </w:rPr>
        <w:t xml:space="preserve"> FOREIGN AFFAIRS</w:t>
      </w:r>
      <w:r w:rsidR="00445ACB" w:rsidRPr="00280594">
        <w:rPr>
          <w:rFonts w:ascii="Maiandra GD" w:eastAsia="Calibri" w:hAnsi="Maiandra GD" w:cs="Times New Roman"/>
          <w:b/>
          <w:sz w:val="20"/>
          <w:szCs w:val="20"/>
        </w:rPr>
        <w:t xml:space="preserve">  </w:t>
      </w:r>
    </w:p>
    <w:p w14:paraId="75056AC7" w14:textId="77777777" w:rsidR="002C7263" w:rsidRPr="00280594" w:rsidRDefault="002C7263" w:rsidP="002C7263">
      <w:pPr>
        <w:spacing w:after="0" w:line="240" w:lineRule="auto"/>
        <w:jc w:val="center"/>
        <w:rPr>
          <w:rFonts w:ascii="Maiandra GD" w:eastAsia="Calibri" w:hAnsi="Maiandra GD" w:cs="Times New Roman"/>
          <w:b/>
          <w:sz w:val="20"/>
          <w:szCs w:val="20"/>
        </w:rPr>
      </w:pPr>
    </w:p>
    <w:p w14:paraId="189736EA" w14:textId="15F2D278" w:rsidR="00445ACB" w:rsidRPr="00280594" w:rsidRDefault="00D10144" w:rsidP="002C7263">
      <w:pPr>
        <w:spacing w:after="0" w:line="240" w:lineRule="auto"/>
        <w:jc w:val="center"/>
        <w:rPr>
          <w:rFonts w:ascii="Maiandra GD" w:eastAsia="Calibri" w:hAnsi="Maiandra GD" w:cs="Times New Roman"/>
          <w:b/>
          <w:sz w:val="20"/>
          <w:szCs w:val="20"/>
        </w:rPr>
      </w:pPr>
      <w:r>
        <w:rPr>
          <w:rFonts w:ascii="Maiandra GD" w:eastAsia="Calibri" w:hAnsi="Maiandra GD" w:cs="Times New Roman"/>
          <w:b/>
          <w:sz w:val="20"/>
          <w:szCs w:val="20"/>
        </w:rPr>
        <w:t>CALL FOR APPLICATIONS</w:t>
      </w:r>
      <w:r w:rsidR="001610D9">
        <w:rPr>
          <w:rFonts w:ascii="Maiandra GD" w:eastAsia="Calibri" w:hAnsi="Maiandra GD" w:cs="Times New Roman"/>
          <w:b/>
          <w:sz w:val="20"/>
          <w:szCs w:val="20"/>
        </w:rPr>
        <w:t xml:space="preserve"> / EXPRESSION OF INTEREST (EOI) FOR</w:t>
      </w:r>
      <w:bookmarkStart w:id="0" w:name="_Hlk62553983"/>
      <w:r w:rsidR="001610D9">
        <w:rPr>
          <w:rFonts w:ascii="Maiandra GD" w:eastAsia="Calibri" w:hAnsi="Maiandra GD" w:cs="Times New Roman"/>
          <w:b/>
          <w:sz w:val="20"/>
          <w:szCs w:val="20"/>
        </w:rPr>
        <w:t xml:space="preserve"> CO</w:t>
      </w:r>
      <w:r w:rsidR="00216FC6" w:rsidRPr="00280594">
        <w:rPr>
          <w:rFonts w:ascii="Maiandra GD" w:eastAsia="Calibri" w:hAnsi="Maiandra GD" w:cs="Times New Roman"/>
          <w:b/>
          <w:sz w:val="20"/>
          <w:szCs w:val="20"/>
        </w:rPr>
        <w:t xml:space="preserve">NSULTING SERVICES </w:t>
      </w:r>
      <w:bookmarkEnd w:id="0"/>
    </w:p>
    <w:p w14:paraId="7C226E8B" w14:textId="77777777" w:rsidR="00445ACB" w:rsidRPr="00280594" w:rsidRDefault="00445ACB" w:rsidP="002C7263">
      <w:pPr>
        <w:spacing w:after="0" w:line="240" w:lineRule="auto"/>
        <w:jc w:val="center"/>
        <w:rPr>
          <w:rFonts w:ascii="Maiandra GD" w:eastAsia="Calibri" w:hAnsi="Maiandra GD" w:cs="Times New Roman"/>
          <w:sz w:val="20"/>
          <w:szCs w:val="20"/>
        </w:rPr>
      </w:pPr>
    </w:p>
    <w:tbl>
      <w:tblPr>
        <w:tblStyle w:val="TableGrid1"/>
        <w:tblW w:w="9720" w:type="dxa"/>
        <w:tblInd w:w="108" w:type="dxa"/>
        <w:tblLook w:val="04A0" w:firstRow="1" w:lastRow="0" w:firstColumn="1" w:lastColumn="0" w:noHBand="0" w:noVBand="1"/>
      </w:tblPr>
      <w:tblGrid>
        <w:gridCol w:w="2047"/>
        <w:gridCol w:w="7673"/>
      </w:tblGrid>
      <w:tr w:rsidR="00445ACB" w:rsidRPr="00280594" w14:paraId="2EFF588A" w14:textId="77777777" w:rsidTr="001A4A92">
        <w:tc>
          <w:tcPr>
            <w:tcW w:w="2047" w:type="dxa"/>
          </w:tcPr>
          <w:p w14:paraId="4FF7CBE6" w14:textId="77777777" w:rsidR="00445ACB" w:rsidRPr="00280594" w:rsidRDefault="00445ACB" w:rsidP="002C7263">
            <w:pPr>
              <w:spacing w:line="360" w:lineRule="auto"/>
              <w:rPr>
                <w:rFonts w:ascii="Maiandra GD" w:eastAsia="Calibri" w:hAnsi="Maiandra GD" w:cs="Times New Roman"/>
                <w:b/>
                <w:sz w:val="20"/>
                <w:szCs w:val="20"/>
              </w:rPr>
            </w:pPr>
            <w:r w:rsidRPr="00280594">
              <w:rPr>
                <w:rFonts w:ascii="Maiandra GD" w:eastAsia="Calibri" w:hAnsi="Maiandra GD" w:cs="Times New Roman"/>
                <w:b/>
                <w:sz w:val="20"/>
                <w:szCs w:val="20"/>
              </w:rPr>
              <w:t xml:space="preserve">COUNTRY: </w:t>
            </w:r>
            <w:r w:rsidRPr="00280594">
              <w:rPr>
                <w:rFonts w:ascii="Maiandra GD" w:eastAsia="Calibri" w:hAnsi="Maiandra GD" w:cs="Times New Roman"/>
                <w:b/>
                <w:sz w:val="20"/>
                <w:szCs w:val="20"/>
              </w:rPr>
              <w:tab/>
            </w:r>
          </w:p>
        </w:tc>
        <w:tc>
          <w:tcPr>
            <w:tcW w:w="7673" w:type="dxa"/>
          </w:tcPr>
          <w:p w14:paraId="705604B4" w14:textId="77777777" w:rsidR="00445ACB" w:rsidRPr="00280594" w:rsidRDefault="00445ACB" w:rsidP="002C7263">
            <w:pPr>
              <w:spacing w:line="360" w:lineRule="auto"/>
              <w:rPr>
                <w:rFonts w:ascii="Maiandra GD" w:eastAsia="Calibri" w:hAnsi="Maiandra GD" w:cs="Times New Roman"/>
                <w:b/>
                <w:bCs/>
                <w:sz w:val="20"/>
                <w:szCs w:val="20"/>
              </w:rPr>
            </w:pPr>
            <w:r w:rsidRPr="00280594">
              <w:rPr>
                <w:rFonts w:ascii="Maiandra GD" w:eastAsia="Calibri" w:hAnsi="Maiandra GD" w:cs="Times New Roman"/>
                <w:b/>
                <w:bCs/>
                <w:sz w:val="20"/>
                <w:szCs w:val="20"/>
              </w:rPr>
              <w:t xml:space="preserve">KENYA </w:t>
            </w:r>
          </w:p>
        </w:tc>
      </w:tr>
      <w:tr w:rsidR="00445ACB" w:rsidRPr="00280594" w14:paraId="0C38B516" w14:textId="77777777" w:rsidTr="00F86C0C">
        <w:trPr>
          <w:trHeight w:val="584"/>
        </w:trPr>
        <w:tc>
          <w:tcPr>
            <w:tcW w:w="2047" w:type="dxa"/>
          </w:tcPr>
          <w:p w14:paraId="0CC8AFF3" w14:textId="77777777" w:rsidR="00445ACB" w:rsidRPr="00280594" w:rsidRDefault="00445ACB" w:rsidP="002C7263">
            <w:pPr>
              <w:spacing w:line="360" w:lineRule="auto"/>
              <w:rPr>
                <w:rFonts w:ascii="Maiandra GD" w:eastAsia="Calibri" w:hAnsi="Maiandra GD" w:cs="Times New Roman"/>
                <w:b/>
                <w:sz w:val="20"/>
                <w:szCs w:val="20"/>
              </w:rPr>
            </w:pPr>
            <w:r w:rsidRPr="00280594">
              <w:rPr>
                <w:rFonts w:ascii="Maiandra GD" w:eastAsia="Calibri" w:hAnsi="Maiandra GD" w:cs="Times New Roman"/>
                <w:b/>
                <w:sz w:val="20"/>
                <w:szCs w:val="20"/>
              </w:rPr>
              <w:t>Assignment Title:</w:t>
            </w:r>
          </w:p>
        </w:tc>
        <w:tc>
          <w:tcPr>
            <w:tcW w:w="7673" w:type="dxa"/>
          </w:tcPr>
          <w:p w14:paraId="0A12BF11" w14:textId="1FE6641B" w:rsidR="00445ACB" w:rsidRPr="00280594" w:rsidRDefault="00FB5F97" w:rsidP="008D5C53">
            <w:pPr>
              <w:spacing w:line="276" w:lineRule="auto"/>
              <w:jc w:val="both"/>
              <w:rPr>
                <w:rFonts w:ascii="Maiandra GD" w:eastAsia="Calibri" w:hAnsi="Maiandra GD" w:cs="Times New Roman"/>
                <w:b/>
                <w:bCs/>
                <w:sz w:val="20"/>
                <w:szCs w:val="20"/>
              </w:rPr>
            </w:pPr>
            <w:r w:rsidRPr="00280594">
              <w:rPr>
                <w:rFonts w:ascii="Maiandra GD" w:eastAsia="Calibri" w:hAnsi="Maiandra GD" w:cs="Times New Roman"/>
                <w:b/>
                <w:bCs/>
                <w:sz w:val="20"/>
                <w:szCs w:val="20"/>
              </w:rPr>
              <w:t xml:space="preserve">EXPRESSION OF INTEREST FOR PROVISION OF </w:t>
            </w:r>
            <w:r w:rsidR="008D5C53" w:rsidRPr="00280594">
              <w:rPr>
                <w:rFonts w:ascii="Maiandra GD" w:eastAsia="Calibri" w:hAnsi="Maiandra GD" w:cs="Times New Roman"/>
                <w:b/>
                <w:bCs/>
                <w:sz w:val="20"/>
                <w:szCs w:val="20"/>
              </w:rPr>
              <w:t>LEAD CONSULTANCY SERVICES FOR KENYA’S COUNTRY STRUCTURAL VULNERABILITY AND RESILIENCE ASSESMENT PROCESS</w:t>
            </w:r>
          </w:p>
        </w:tc>
      </w:tr>
      <w:tr w:rsidR="00445ACB" w:rsidRPr="00280594" w14:paraId="6154F2D1" w14:textId="77777777" w:rsidTr="00F86C0C">
        <w:trPr>
          <w:trHeight w:val="404"/>
        </w:trPr>
        <w:tc>
          <w:tcPr>
            <w:tcW w:w="2047" w:type="dxa"/>
          </w:tcPr>
          <w:p w14:paraId="7687D286" w14:textId="518DDCFC" w:rsidR="00445ACB" w:rsidRPr="00280594" w:rsidRDefault="008D5C53" w:rsidP="002C7263">
            <w:pPr>
              <w:spacing w:line="360" w:lineRule="auto"/>
              <w:rPr>
                <w:rFonts w:ascii="Maiandra GD" w:eastAsia="Calibri" w:hAnsi="Maiandra GD" w:cs="Times New Roman"/>
                <w:b/>
                <w:sz w:val="20"/>
                <w:szCs w:val="20"/>
              </w:rPr>
            </w:pPr>
            <w:r w:rsidRPr="00280594">
              <w:rPr>
                <w:rFonts w:ascii="Maiandra GD" w:eastAsia="Calibri" w:hAnsi="Maiandra GD" w:cs="Times New Roman"/>
                <w:b/>
                <w:sz w:val="20"/>
                <w:szCs w:val="20"/>
              </w:rPr>
              <w:t xml:space="preserve">EOI </w:t>
            </w:r>
            <w:r w:rsidR="00605170" w:rsidRPr="00280594">
              <w:rPr>
                <w:rFonts w:ascii="Maiandra GD" w:eastAsia="Calibri" w:hAnsi="Maiandra GD" w:cs="Times New Roman"/>
                <w:b/>
                <w:sz w:val="20"/>
                <w:szCs w:val="20"/>
              </w:rPr>
              <w:t xml:space="preserve"> No.</w:t>
            </w:r>
          </w:p>
        </w:tc>
        <w:tc>
          <w:tcPr>
            <w:tcW w:w="7673" w:type="dxa"/>
          </w:tcPr>
          <w:p w14:paraId="53A44E19" w14:textId="32F85C44" w:rsidR="00445ACB" w:rsidRPr="00280594" w:rsidRDefault="00902B79" w:rsidP="008D5C53">
            <w:pPr>
              <w:spacing w:line="360" w:lineRule="auto"/>
              <w:rPr>
                <w:rFonts w:ascii="Maiandra GD" w:eastAsia="Calibri" w:hAnsi="Maiandra GD" w:cs="Times New Roman"/>
                <w:sz w:val="20"/>
                <w:szCs w:val="20"/>
              </w:rPr>
            </w:pPr>
            <w:r w:rsidRPr="00280594">
              <w:rPr>
                <w:rFonts w:ascii="Maiandra GD" w:eastAsia="Calibri" w:hAnsi="Maiandra GD" w:cs="Times New Roman"/>
                <w:sz w:val="20"/>
                <w:szCs w:val="20"/>
              </w:rPr>
              <w:t>MF</w:t>
            </w:r>
            <w:r w:rsidR="00FB5F97" w:rsidRPr="00280594">
              <w:rPr>
                <w:rFonts w:ascii="Maiandra GD" w:eastAsia="Calibri" w:hAnsi="Maiandra GD" w:cs="Times New Roman"/>
                <w:sz w:val="20"/>
                <w:szCs w:val="20"/>
              </w:rPr>
              <w:t>A/SDFA</w:t>
            </w:r>
            <w:r w:rsidR="008E3375" w:rsidRPr="00280594">
              <w:rPr>
                <w:rFonts w:ascii="Maiandra GD" w:eastAsia="Calibri" w:hAnsi="Maiandra GD" w:cs="Times New Roman"/>
                <w:sz w:val="20"/>
                <w:szCs w:val="20"/>
              </w:rPr>
              <w:t>/</w:t>
            </w:r>
            <w:r w:rsidRPr="00280594">
              <w:rPr>
                <w:rFonts w:ascii="Maiandra GD" w:eastAsia="Calibri" w:hAnsi="Maiandra GD" w:cs="Times New Roman"/>
                <w:sz w:val="20"/>
                <w:szCs w:val="20"/>
              </w:rPr>
              <w:t>00</w:t>
            </w:r>
            <w:r w:rsidR="008D5C53" w:rsidRPr="00280594">
              <w:rPr>
                <w:rFonts w:ascii="Maiandra GD" w:eastAsia="Calibri" w:hAnsi="Maiandra GD" w:cs="Times New Roman"/>
                <w:sz w:val="20"/>
                <w:szCs w:val="20"/>
              </w:rPr>
              <w:t>1</w:t>
            </w:r>
            <w:r w:rsidR="00FB5F97" w:rsidRPr="00280594">
              <w:rPr>
                <w:rFonts w:ascii="Maiandra GD" w:eastAsia="Calibri" w:hAnsi="Maiandra GD" w:cs="Times New Roman"/>
                <w:sz w:val="20"/>
                <w:szCs w:val="20"/>
              </w:rPr>
              <w:t>/</w:t>
            </w:r>
            <w:r w:rsidR="008D5C53" w:rsidRPr="00280594">
              <w:rPr>
                <w:rFonts w:ascii="Maiandra GD" w:eastAsia="Calibri" w:hAnsi="Maiandra GD" w:cs="Times New Roman"/>
                <w:sz w:val="20"/>
                <w:szCs w:val="20"/>
              </w:rPr>
              <w:t>COMESA/AU/2025 - 2026</w:t>
            </w:r>
          </w:p>
        </w:tc>
      </w:tr>
    </w:tbl>
    <w:p w14:paraId="49D28A6A" w14:textId="77777777" w:rsidR="00605170" w:rsidRPr="00280594" w:rsidRDefault="00605170" w:rsidP="002C7263">
      <w:pPr>
        <w:tabs>
          <w:tab w:val="left" w:pos="2161"/>
        </w:tabs>
        <w:spacing w:after="0" w:line="20" w:lineRule="atLeast"/>
        <w:jc w:val="both"/>
        <w:rPr>
          <w:rFonts w:ascii="Maiandra GD" w:hAnsi="Maiandra GD"/>
          <w:b/>
          <w:bCs/>
          <w:color w:val="383838"/>
          <w:sz w:val="20"/>
          <w:szCs w:val="20"/>
        </w:rPr>
      </w:pPr>
    </w:p>
    <w:p w14:paraId="12F41EAF" w14:textId="32D8FF9A" w:rsidR="00445ACB" w:rsidRPr="00280594" w:rsidRDefault="00624ED8" w:rsidP="00D350A5">
      <w:pPr>
        <w:spacing w:after="0" w:line="20" w:lineRule="atLeast"/>
        <w:jc w:val="both"/>
        <w:rPr>
          <w:rFonts w:ascii="Maiandra GD" w:hAnsi="Maiandra GD"/>
          <w:b/>
          <w:bCs/>
          <w:color w:val="383838"/>
          <w:sz w:val="20"/>
          <w:szCs w:val="20"/>
        </w:rPr>
      </w:pPr>
      <w:r w:rsidRPr="00280594">
        <w:rPr>
          <w:rFonts w:ascii="Maiandra GD" w:hAnsi="Maiandra GD"/>
          <w:b/>
          <w:bCs/>
          <w:color w:val="383838"/>
          <w:sz w:val="20"/>
          <w:szCs w:val="20"/>
        </w:rPr>
        <w:t>Background Information</w:t>
      </w:r>
    </w:p>
    <w:p w14:paraId="7970D9D8" w14:textId="1CF7D8B6"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One of the principal objectives of the African Union (AU) is to promote peace, security and stability on the continent.</w:t>
      </w:r>
      <w:r w:rsidR="00D1081E" w:rsidRPr="00280594">
        <w:rPr>
          <w:rFonts w:ascii="Maiandra GD" w:eastAsia="Times New Roman" w:hAnsi="Maiandra GD" w:cs="Calibri"/>
          <w:color w:val="000000"/>
          <w:kern w:val="20"/>
          <w:sz w:val="20"/>
          <w:szCs w:val="20"/>
          <w:lang w:val="en-GB" w:eastAsia="ja-JP"/>
        </w:rPr>
        <w:t xml:space="preserve"> </w:t>
      </w:r>
      <w:r w:rsidRPr="00280594">
        <w:rPr>
          <w:rFonts w:ascii="Maiandra GD" w:eastAsia="Times New Roman" w:hAnsi="Maiandra GD" w:cs="Calibri"/>
          <w:color w:val="000000"/>
          <w:kern w:val="20"/>
          <w:sz w:val="20"/>
          <w:szCs w:val="20"/>
          <w:lang w:val="en-GB" w:eastAsia="ja-JP"/>
        </w:rPr>
        <w:t>The Protocol Relating to the Establishment of the Peace and Security Council establishes the primary decision-making organ, which is the Peace and Security Council (PSC). Through the AU Peace and Security Council (PSC), the AU seeks to “anticipate and prevent conflicts.” Article 12 of the PSC Protocol provides for the establishment and operationalization of the Continental Early Warning System (CEWS) whose primary objectives are the anticipation and prevention of conflicts as well as the provision of timely policy options for the AUC Chairperson. At its 463</w:t>
      </w:r>
      <w:r w:rsidRPr="00280594">
        <w:rPr>
          <w:rFonts w:ascii="Maiandra GD" w:eastAsia="Times New Roman" w:hAnsi="Maiandra GD" w:cs="Calibri"/>
          <w:color w:val="000000"/>
          <w:kern w:val="20"/>
          <w:sz w:val="20"/>
          <w:szCs w:val="20"/>
          <w:vertAlign w:val="superscript"/>
          <w:lang w:val="en-GB" w:eastAsia="ja-JP"/>
        </w:rPr>
        <w:t>rd</w:t>
      </w:r>
      <w:r w:rsidRPr="00280594">
        <w:rPr>
          <w:rFonts w:ascii="Maiandra GD" w:eastAsia="Times New Roman" w:hAnsi="Maiandra GD" w:cs="Calibri"/>
          <w:color w:val="000000"/>
          <w:kern w:val="20"/>
          <w:sz w:val="20"/>
          <w:szCs w:val="20"/>
          <w:lang w:val="en-GB" w:eastAsia="ja-JP"/>
        </w:rPr>
        <w:t xml:space="preserve"> meeting in October 2014 the PSC held an open session on the theme “Structural Prevention of Conflict – Reinvigorating States in Fragile Situations in Africa”.</w:t>
      </w:r>
      <w:r w:rsidR="00D1081E" w:rsidRPr="00280594">
        <w:rPr>
          <w:rFonts w:ascii="Maiandra GD" w:eastAsia="Times New Roman" w:hAnsi="Maiandra GD" w:cs="Calibri"/>
          <w:color w:val="000000"/>
          <w:kern w:val="20"/>
          <w:sz w:val="20"/>
          <w:szCs w:val="20"/>
          <w:lang w:val="en-GB" w:eastAsia="ja-JP"/>
        </w:rPr>
        <w:t xml:space="preserve"> </w:t>
      </w:r>
      <w:r w:rsidRPr="00280594">
        <w:rPr>
          <w:rFonts w:ascii="Maiandra GD" w:eastAsia="Times New Roman" w:hAnsi="Maiandra GD" w:cs="Calibri"/>
          <w:color w:val="000000"/>
          <w:kern w:val="20"/>
          <w:sz w:val="20"/>
          <w:szCs w:val="20"/>
          <w:lang w:val="en-GB" w:eastAsia="ja-JP"/>
        </w:rPr>
        <w:t xml:space="preserve">The PSC Session commended efforts by the AUC to finalize the elaboration of a Continental Structural Conflict Prevention Framework (CSCPF), which includes a Country Structural Vulnerability and Resilience Assessment (CSRVA) and Country Structural Vulnerability Mitigation Strategy (CSVMS) tools to support member states efforts in the identification of Structural Vulnerability and Resilience factors to conflict in countries at an early stage with special emphasis on seven areas that are relevant in identifying drivers of conflict. These include: </w:t>
      </w:r>
    </w:p>
    <w:p w14:paraId="79622D86"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 </w:t>
      </w:r>
    </w:p>
    <w:p w14:paraId="467969D6"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Socio-economic development;</w:t>
      </w:r>
    </w:p>
    <w:p w14:paraId="3ADE0FD5"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Good governance, the rule of law, democracy and human rights;</w:t>
      </w:r>
    </w:p>
    <w:p w14:paraId="74123717"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Security sector;</w:t>
      </w:r>
    </w:p>
    <w:p w14:paraId="79D86FF4"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Environment and climate change;</w:t>
      </w:r>
    </w:p>
    <w:p w14:paraId="7F4BD48E"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Gender and youth;</w:t>
      </w:r>
    </w:p>
    <w:p w14:paraId="1B26419A"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Post-conflict peacebuilding; and</w:t>
      </w:r>
    </w:p>
    <w:p w14:paraId="25AF67B8" w14:textId="77777777" w:rsidR="00476BBF" w:rsidRPr="00280594" w:rsidRDefault="00476BBF" w:rsidP="00476BBF">
      <w:pPr>
        <w:numPr>
          <w:ilvl w:val="0"/>
          <w:numId w:val="29"/>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Transitional justice and reconciliation.</w:t>
      </w:r>
    </w:p>
    <w:p w14:paraId="552ACF37"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p>
    <w:p w14:paraId="665C54DC" w14:textId="18E1F02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The PSC underscored the need for a comprehensive and holistic approach to conflict prevention, comprising both direct and operational measures to prevent the eruption of large-scale violence, and a strategic focus on the structural causes of conflict. In this respect, the PSC reiterated the need to build robust, responsive and accountable institutions, as well as promote inclusive political processes and economic empowerment to prevent conflicts and consolidate peace. At its 502</w:t>
      </w:r>
      <w:r w:rsidRPr="00280594">
        <w:rPr>
          <w:rFonts w:ascii="Maiandra GD" w:eastAsia="Times New Roman" w:hAnsi="Maiandra GD" w:cs="Calibri"/>
          <w:color w:val="000000"/>
          <w:kern w:val="20"/>
          <w:sz w:val="20"/>
          <w:szCs w:val="20"/>
          <w:vertAlign w:val="superscript"/>
          <w:lang w:val="en-GB" w:eastAsia="ja-JP"/>
        </w:rPr>
        <w:t>nd</w:t>
      </w:r>
      <w:r w:rsidRPr="00280594">
        <w:rPr>
          <w:rFonts w:ascii="Maiandra GD" w:eastAsia="Times New Roman" w:hAnsi="Maiandra GD" w:cs="Calibri"/>
          <w:color w:val="000000"/>
          <w:kern w:val="20"/>
          <w:sz w:val="20"/>
          <w:szCs w:val="20"/>
          <w:lang w:val="en-GB" w:eastAsia="ja-JP"/>
        </w:rPr>
        <w:t xml:space="preserve"> Meeting in April 2015, the PSC, recalled its 463</w:t>
      </w:r>
      <w:r w:rsidRPr="00280594">
        <w:rPr>
          <w:rFonts w:ascii="Maiandra GD" w:eastAsia="Times New Roman" w:hAnsi="Maiandra GD" w:cs="Calibri"/>
          <w:color w:val="000000"/>
          <w:kern w:val="20"/>
          <w:sz w:val="20"/>
          <w:szCs w:val="20"/>
          <w:vertAlign w:val="superscript"/>
          <w:lang w:val="en-GB" w:eastAsia="ja-JP"/>
        </w:rPr>
        <w:t>rd</w:t>
      </w:r>
      <w:r w:rsidRPr="00280594">
        <w:rPr>
          <w:rFonts w:ascii="Maiandra GD" w:eastAsia="Times New Roman" w:hAnsi="Maiandra GD" w:cs="Calibri"/>
          <w:color w:val="000000"/>
          <w:kern w:val="20"/>
          <w:sz w:val="20"/>
          <w:szCs w:val="20"/>
          <w:lang w:val="en-GB" w:eastAsia="ja-JP"/>
        </w:rPr>
        <w:t xml:space="preserve"> session deliberations and encouraged Member States “to fully take advantage of the CSRVA and CSVMS tools in their efforts towards the structural prevention of conflict and consolidation of peace and stability.” The PSC went further to request the AU Commission in collaboration with RECs to avail all necessary resources to Member States. The Commission has since elaborated on the CSCPF, put in place the CSVRA and CSVMS tools and finalized Guidelines and Methodology.</w:t>
      </w:r>
    </w:p>
    <w:p w14:paraId="1EB2A76D" w14:textId="46CDC635" w:rsidR="00476BBF" w:rsidRPr="00280594" w:rsidRDefault="00476BBF" w:rsidP="007C69E9">
      <w:pPr>
        <w:spacing w:after="0" w:line="240" w:lineRule="auto"/>
        <w:contextualSpacing/>
        <w:jc w:val="both"/>
        <w:rPr>
          <w:rFonts w:ascii="Maiandra GD" w:eastAsia="Times New Roman" w:hAnsi="Maiandra GD" w:cs="Calibri"/>
          <w:color w:val="000000"/>
          <w:kern w:val="20"/>
          <w:sz w:val="20"/>
          <w:szCs w:val="20"/>
          <w:lang w:val="en-GB" w:eastAsia="ja-JP"/>
        </w:rPr>
      </w:pPr>
    </w:p>
    <w:p w14:paraId="2CEE8849"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The communique of the 1163rd meeting of the AU PSC convened at the Ministerial level on July 21, 2023, underscored the need for Member States to fully embrace the Continental Conflict Prevention Frameworks, which include the voluntary Country Structural Vulnerability and Resilience Assessment (CSVRA) and Country Structural Vulnerability Mitigation Strategies (CSVMS).</w:t>
      </w:r>
    </w:p>
    <w:p w14:paraId="55EF21E0"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p>
    <w:p w14:paraId="51F3618B" w14:textId="64F42AA0"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The process of undertaking the CSVRA and developing the CSVMS is voluntary, and country driven. </w:t>
      </w:r>
      <w:r w:rsidRPr="00280594">
        <w:rPr>
          <w:rFonts w:ascii="Maiandra GD" w:eastAsia="Times New Roman" w:hAnsi="Maiandra GD" w:cs="Calibri"/>
          <w:bCs/>
          <w:color w:val="000000"/>
          <w:kern w:val="20"/>
          <w:sz w:val="20"/>
          <w:szCs w:val="20"/>
          <w:lang w:val="en-GB" w:eastAsia="ja-JP"/>
        </w:rPr>
        <w:t>The CSVRA is generated through a request from a Member State, simultaneously to the REC it belongs to, as well as to the AU Commission</w:t>
      </w:r>
      <w:r w:rsidRPr="00280594">
        <w:rPr>
          <w:rFonts w:ascii="Maiandra GD" w:eastAsia="Times New Roman" w:hAnsi="Maiandra GD" w:cs="Calibri"/>
          <w:color w:val="000000"/>
          <w:kern w:val="20"/>
          <w:sz w:val="20"/>
          <w:szCs w:val="20"/>
          <w:lang w:val="en-GB" w:eastAsia="ja-JP"/>
        </w:rPr>
        <w:t>. So far, five (5) Member States have acceded to the CSVRA/CSVMS process namely: The Republic of Ghana (2017), the Republic of Cote d’Ivoire (2019); the Republic of Zambia (2021); the Republic of Malawi (2023) and the Republic of Kenya (2023, through COMESA).</w:t>
      </w:r>
    </w:p>
    <w:p w14:paraId="06143271" w14:textId="5F3313C0"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p>
    <w:p w14:paraId="4589A29D" w14:textId="1371260C" w:rsidR="00D1081E" w:rsidRPr="00280594" w:rsidRDefault="00D1081E"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The Ministry is currently soliciting Expressions of Interest (EOIs) for an eligible lead consultant </w:t>
      </w:r>
      <w:r w:rsidRPr="00280594">
        <w:rPr>
          <w:rFonts w:ascii="Maiandra GD" w:eastAsia="Calibri" w:hAnsi="Maiandra GD" w:cs="Times New Roman"/>
          <w:b/>
          <w:bCs/>
          <w:sz w:val="20"/>
          <w:szCs w:val="20"/>
        </w:rPr>
        <w:t>for Kenya’s Country Structural Vulnerability and Resilience Asses</w:t>
      </w:r>
      <w:r w:rsidR="00DC317C" w:rsidRPr="00280594">
        <w:rPr>
          <w:rFonts w:ascii="Maiandra GD" w:eastAsia="Calibri" w:hAnsi="Maiandra GD" w:cs="Times New Roman"/>
          <w:b/>
          <w:bCs/>
          <w:sz w:val="20"/>
          <w:szCs w:val="20"/>
        </w:rPr>
        <w:t>s</w:t>
      </w:r>
      <w:r w:rsidRPr="00280594">
        <w:rPr>
          <w:rFonts w:ascii="Maiandra GD" w:eastAsia="Calibri" w:hAnsi="Maiandra GD" w:cs="Times New Roman"/>
          <w:b/>
          <w:bCs/>
          <w:sz w:val="20"/>
          <w:szCs w:val="20"/>
        </w:rPr>
        <w:t>ment Process</w:t>
      </w:r>
      <w:r w:rsidRPr="00280594">
        <w:rPr>
          <w:rFonts w:ascii="Maiandra GD" w:eastAsia="Times New Roman" w:hAnsi="Maiandra GD" w:cs="Calibri"/>
          <w:color w:val="000000"/>
          <w:kern w:val="20"/>
          <w:sz w:val="20"/>
          <w:szCs w:val="20"/>
          <w:lang w:val="en-GB" w:eastAsia="ja-JP"/>
        </w:rPr>
        <w:t xml:space="preserve"> </w:t>
      </w:r>
      <w:r w:rsidR="003435E1" w:rsidRPr="00280594">
        <w:rPr>
          <w:rFonts w:ascii="Maiandra GD" w:eastAsia="Times New Roman" w:hAnsi="Maiandra GD" w:cs="Calibri"/>
          <w:color w:val="000000"/>
          <w:kern w:val="20"/>
          <w:sz w:val="20"/>
          <w:szCs w:val="20"/>
          <w:lang w:val="en-GB" w:eastAsia="ja-JP"/>
        </w:rPr>
        <w:t>as per the given Terms of Reference.</w:t>
      </w:r>
    </w:p>
    <w:p w14:paraId="59F97C64" w14:textId="77777777" w:rsidR="003435E1" w:rsidRPr="00280594" w:rsidRDefault="003435E1" w:rsidP="00476BBF">
      <w:pPr>
        <w:spacing w:after="0" w:line="240" w:lineRule="auto"/>
        <w:contextualSpacing/>
        <w:jc w:val="both"/>
        <w:rPr>
          <w:rFonts w:ascii="Maiandra GD" w:eastAsia="Times New Roman" w:hAnsi="Maiandra GD" w:cs="Calibri"/>
          <w:color w:val="000000"/>
          <w:kern w:val="20"/>
          <w:sz w:val="20"/>
          <w:szCs w:val="20"/>
          <w:lang w:val="en-GB" w:eastAsia="ja-JP"/>
        </w:rPr>
      </w:pPr>
    </w:p>
    <w:p w14:paraId="6B6EB22B" w14:textId="2AEE1B67" w:rsidR="00476BBF" w:rsidRDefault="003435E1" w:rsidP="00476BBF">
      <w:pPr>
        <w:spacing w:after="0" w:line="240" w:lineRule="auto"/>
        <w:contextualSpacing/>
        <w:jc w:val="both"/>
        <w:rPr>
          <w:rFonts w:ascii="Maiandra GD" w:eastAsia="Times New Roman" w:hAnsi="Maiandra GD" w:cs="Calibri"/>
          <w:b/>
          <w:color w:val="000000"/>
          <w:kern w:val="20"/>
          <w:sz w:val="20"/>
          <w:szCs w:val="20"/>
          <w:lang w:eastAsia="ja-JP"/>
        </w:rPr>
      </w:pPr>
      <w:r w:rsidRPr="00280594">
        <w:rPr>
          <w:rFonts w:ascii="Maiandra GD" w:eastAsia="Times New Roman" w:hAnsi="Maiandra GD" w:cs="Calibri"/>
          <w:b/>
          <w:color w:val="000000"/>
          <w:kern w:val="20"/>
          <w:sz w:val="20"/>
          <w:szCs w:val="20"/>
          <w:lang w:eastAsia="ja-JP"/>
        </w:rPr>
        <w:t>Scope</w:t>
      </w:r>
      <w:r w:rsidR="00476BBF" w:rsidRPr="00280594">
        <w:rPr>
          <w:rFonts w:ascii="Maiandra GD" w:eastAsia="Times New Roman" w:hAnsi="Maiandra GD" w:cs="Calibri"/>
          <w:b/>
          <w:color w:val="000000"/>
          <w:kern w:val="20"/>
          <w:sz w:val="20"/>
          <w:szCs w:val="20"/>
          <w:lang w:eastAsia="ja-JP"/>
        </w:rPr>
        <w:t xml:space="preserve"> of </w:t>
      </w:r>
      <w:r w:rsidRPr="00280594">
        <w:rPr>
          <w:rFonts w:ascii="Maiandra GD" w:eastAsia="Times New Roman" w:hAnsi="Maiandra GD" w:cs="Calibri"/>
          <w:b/>
          <w:color w:val="000000"/>
          <w:kern w:val="20"/>
          <w:sz w:val="20"/>
          <w:szCs w:val="20"/>
          <w:lang w:eastAsia="ja-JP"/>
        </w:rPr>
        <w:t xml:space="preserve">the </w:t>
      </w:r>
      <w:r w:rsidR="00476BBF" w:rsidRPr="00280594">
        <w:rPr>
          <w:rFonts w:ascii="Maiandra GD" w:eastAsia="Times New Roman" w:hAnsi="Maiandra GD" w:cs="Calibri"/>
          <w:b/>
          <w:color w:val="000000"/>
          <w:kern w:val="20"/>
          <w:sz w:val="20"/>
          <w:szCs w:val="20"/>
          <w:lang w:eastAsia="ja-JP"/>
        </w:rPr>
        <w:t>Assignment and Specific Outputs</w:t>
      </w:r>
    </w:p>
    <w:p w14:paraId="0B9E0A2D" w14:textId="77777777" w:rsidR="0087283E" w:rsidRPr="00280594" w:rsidRDefault="0087283E" w:rsidP="00476BBF">
      <w:pPr>
        <w:spacing w:after="0" w:line="240" w:lineRule="auto"/>
        <w:contextualSpacing/>
        <w:jc w:val="both"/>
        <w:rPr>
          <w:rFonts w:ascii="Maiandra GD" w:eastAsia="Times New Roman" w:hAnsi="Maiandra GD" w:cs="Calibri"/>
          <w:b/>
          <w:color w:val="000000"/>
          <w:kern w:val="20"/>
          <w:sz w:val="20"/>
          <w:szCs w:val="20"/>
          <w:lang w:eastAsia="ja-JP"/>
        </w:rPr>
      </w:pPr>
    </w:p>
    <w:p w14:paraId="34E34493" w14:textId="000F4320"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The </w:t>
      </w:r>
      <w:r w:rsidR="00DC317C" w:rsidRPr="00280594">
        <w:rPr>
          <w:rFonts w:ascii="Maiandra GD" w:eastAsia="Times New Roman" w:hAnsi="Maiandra GD" w:cs="Calibri"/>
          <w:color w:val="000000"/>
          <w:kern w:val="20"/>
          <w:sz w:val="20"/>
          <w:szCs w:val="20"/>
          <w:lang w:val="en-GB" w:eastAsia="ja-JP"/>
        </w:rPr>
        <w:t xml:space="preserve">lead consultant will be in-charge of the team of </w:t>
      </w:r>
      <w:r w:rsidRPr="00280594">
        <w:rPr>
          <w:rFonts w:ascii="Maiandra GD" w:eastAsia="Times New Roman" w:hAnsi="Maiandra GD" w:cs="Calibri"/>
          <w:color w:val="000000"/>
          <w:kern w:val="20"/>
          <w:sz w:val="20"/>
          <w:szCs w:val="20"/>
          <w:lang w:val="en-GB" w:eastAsia="ja-JP"/>
        </w:rPr>
        <w:t>three experts</w:t>
      </w:r>
      <w:r w:rsidR="00DC317C" w:rsidRPr="00280594">
        <w:rPr>
          <w:rFonts w:ascii="Maiandra GD" w:eastAsia="Times New Roman" w:hAnsi="Maiandra GD" w:cs="Calibri"/>
          <w:color w:val="000000"/>
          <w:kern w:val="20"/>
          <w:sz w:val="20"/>
          <w:szCs w:val="20"/>
          <w:lang w:val="en-GB" w:eastAsia="ja-JP"/>
        </w:rPr>
        <w:t xml:space="preserve"> who</w:t>
      </w:r>
      <w:r w:rsidRPr="00280594">
        <w:rPr>
          <w:rFonts w:ascii="Maiandra GD" w:eastAsia="Times New Roman" w:hAnsi="Maiandra GD" w:cs="Calibri"/>
          <w:color w:val="000000"/>
          <w:kern w:val="20"/>
          <w:sz w:val="20"/>
          <w:szCs w:val="20"/>
          <w:lang w:val="en-GB" w:eastAsia="ja-JP"/>
        </w:rPr>
        <w:t xml:space="preserve"> will provide technical and strategic support to the development of a Country Structural Vulnerability and Resilience Assessment (CSVRA) and Country Structural Vulnerability Mitigation Strategy (CSVMS) report including a draft Implementation Strategy/ Matrix and Lesson Learnt Report. The specific outputs include:</w:t>
      </w:r>
    </w:p>
    <w:p w14:paraId="0DCA80CA" w14:textId="77777777" w:rsidR="00476BBF" w:rsidRPr="00280594" w:rsidRDefault="00476BBF" w:rsidP="00476BBF">
      <w:pPr>
        <w:numPr>
          <w:ilvl w:val="0"/>
          <w:numId w:val="31"/>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Inception Report based on Desk Top Research and consultations with AU-DPAPS &amp; APRM, COMESA, EAC, IGAD, and Kenya Government SVA Bureau and Stakeholders as well as Members of the Technical Working Group on CSVRA;</w:t>
      </w:r>
    </w:p>
    <w:p w14:paraId="2CBB8081" w14:textId="77777777" w:rsidR="00476BBF" w:rsidRPr="00280594" w:rsidRDefault="00476BBF" w:rsidP="00476BBF">
      <w:pPr>
        <w:numPr>
          <w:ilvl w:val="0"/>
          <w:numId w:val="31"/>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Regional consultation reports – highlighting the outcomes from the regional consultations.</w:t>
      </w:r>
    </w:p>
    <w:p w14:paraId="303D9467" w14:textId="77777777" w:rsidR="00476BBF" w:rsidRPr="00280594" w:rsidRDefault="00476BBF" w:rsidP="00476BBF">
      <w:pPr>
        <w:numPr>
          <w:ilvl w:val="0"/>
          <w:numId w:val="31"/>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CSVRA and CSVMS for Kenya. </w:t>
      </w:r>
    </w:p>
    <w:p w14:paraId="45730E75" w14:textId="77777777" w:rsidR="00476BBF" w:rsidRPr="00280594" w:rsidRDefault="00476BBF" w:rsidP="00476BBF">
      <w:pPr>
        <w:numPr>
          <w:ilvl w:val="0"/>
          <w:numId w:val="31"/>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Draft mitigation /Implementation Strategy/ Matrix;</w:t>
      </w:r>
    </w:p>
    <w:p w14:paraId="69FE6C94" w14:textId="77777777" w:rsidR="00476BBF" w:rsidRPr="00280594" w:rsidRDefault="00476BBF" w:rsidP="00476BBF">
      <w:pPr>
        <w:numPr>
          <w:ilvl w:val="0"/>
          <w:numId w:val="31"/>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Lesson Learnt Report.</w:t>
      </w:r>
    </w:p>
    <w:p w14:paraId="4A7B9133" w14:textId="69D4FA6A" w:rsidR="00D1081E" w:rsidRPr="00280594" w:rsidRDefault="00D1081E" w:rsidP="00476BBF">
      <w:pPr>
        <w:spacing w:after="0" w:line="240" w:lineRule="auto"/>
        <w:contextualSpacing/>
        <w:jc w:val="both"/>
        <w:rPr>
          <w:rFonts w:ascii="Maiandra GD" w:eastAsia="Times New Roman" w:hAnsi="Maiandra GD" w:cs="Calibri"/>
          <w:b/>
          <w:color w:val="000000"/>
          <w:kern w:val="20"/>
          <w:sz w:val="20"/>
          <w:szCs w:val="20"/>
          <w:lang w:eastAsia="ja-JP"/>
        </w:rPr>
      </w:pPr>
    </w:p>
    <w:p w14:paraId="60984DF1" w14:textId="5D922BAF" w:rsidR="00476BBF" w:rsidRPr="00280594" w:rsidRDefault="00476BBF" w:rsidP="00476BBF">
      <w:pPr>
        <w:spacing w:after="0" w:line="240" w:lineRule="auto"/>
        <w:contextualSpacing/>
        <w:jc w:val="both"/>
        <w:rPr>
          <w:rFonts w:ascii="Maiandra GD" w:eastAsia="Times New Roman" w:hAnsi="Maiandra GD" w:cs="Calibri"/>
          <w:b/>
          <w:color w:val="000000"/>
          <w:kern w:val="20"/>
          <w:sz w:val="20"/>
          <w:szCs w:val="20"/>
          <w:lang w:eastAsia="ja-JP"/>
        </w:rPr>
      </w:pPr>
      <w:r w:rsidRPr="00280594">
        <w:rPr>
          <w:rFonts w:ascii="Maiandra GD" w:eastAsia="Times New Roman" w:hAnsi="Maiandra GD" w:cs="Calibri"/>
          <w:b/>
          <w:color w:val="000000"/>
          <w:kern w:val="20"/>
          <w:sz w:val="20"/>
          <w:szCs w:val="20"/>
          <w:lang w:eastAsia="ja-JP"/>
        </w:rPr>
        <w:t xml:space="preserve">Profile and Roles of the </w:t>
      </w:r>
      <w:r w:rsidR="003435E1" w:rsidRPr="00280594">
        <w:rPr>
          <w:rFonts w:ascii="Maiandra GD" w:eastAsia="Times New Roman" w:hAnsi="Maiandra GD" w:cs="Calibri"/>
          <w:b/>
          <w:color w:val="000000"/>
          <w:kern w:val="20"/>
          <w:sz w:val="20"/>
          <w:szCs w:val="20"/>
          <w:lang w:eastAsia="ja-JP"/>
        </w:rPr>
        <w:t>Consultant</w:t>
      </w:r>
      <w:r w:rsidR="00B946F4" w:rsidRPr="00280594">
        <w:rPr>
          <w:rFonts w:ascii="Maiandra GD" w:eastAsia="Times New Roman" w:hAnsi="Maiandra GD" w:cs="Calibri"/>
          <w:b/>
          <w:color w:val="000000"/>
          <w:kern w:val="20"/>
          <w:sz w:val="20"/>
          <w:szCs w:val="20"/>
          <w:lang w:eastAsia="ja-JP"/>
        </w:rPr>
        <w:t xml:space="preserve"> and the Shortlisting Criteria</w:t>
      </w:r>
    </w:p>
    <w:p w14:paraId="4DF31122"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eastAsia="ja-JP"/>
        </w:rPr>
      </w:pPr>
    </w:p>
    <w:p w14:paraId="00E5257D" w14:textId="621DFA04"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bCs/>
          <w:color w:val="000000"/>
          <w:kern w:val="20"/>
          <w:sz w:val="20"/>
          <w:szCs w:val="20"/>
          <w:lang w:val="en-GB" w:eastAsia="ja-JP"/>
        </w:rPr>
        <w:t>The</w:t>
      </w:r>
      <w:r w:rsidRPr="00280594">
        <w:rPr>
          <w:rFonts w:ascii="Maiandra GD" w:eastAsia="Times New Roman" w:hAnsi="Maiandra GD" w:cs="Calibri"/>
          <w:b/>
          <w:bCs/>
          <w:color w:val="000000"/>
          <w:kern w:val="20"/>
          <w:sz w:val="20"/>
          <w:szCs w:val="20"/>
          <w:lang w:val="en-GB" w:eastAsia="ja-JP"/>
        </w:rPr>
        <w:t xml:space="preserve"> Lead Consultant</w:t>
      </w:r>
      <w:r w:rsidRPr="00280594">
        <w:rPr>
          <w:rFonts w:ascii="Maiandra GD" w:eastAsia="Times New Roman" w:hAnsi="Maiandra GD" w:cs="Calibri"/>
          <w:color w:val="000000"/>
          <w:kern w:val="20"/>
          <w:sz w:val="20"/>
          <w:szCs w:val="20"/>
          <w:lang w:val="en-GB" w:eastAsia="ja-JP"/>
        </w:rPr>
        <w:t xml:space="preserve"> will: -</w:t>
      </w:r>
    </w:p>
    <w:p w14:paraId="71DBE19B" w14:textId="77777777" w:rsidR="00476BBF" w:rsidRPr="00280594" w:rsidRDefault="00476BBF" w:rsidP="00476BBF">
      <w:pPr>
        <w:spacing w:after="0" w:line="240" w:lineRule="auto"/>
        <w:contextualSpacing/>
        <w:jc w:val="both"/>
        <w:rPr>
          <w:rFonts w:ascii="Maiandra GD" w:eastAsia="Times New Roman" w:hAnsi="Maiandra GD" w:cs="Calibri"/>
          <w:color w:val="000000"/>
          <w:kern w:val="20"/>
          <w:sz w:val="20"/>
          <w:szCs w:val="20"/>
          <w:lang w:val="en-GB" w:eastAsia="ja-JP"/>
        </w:rPr>
      </w:pPr>
    </w:p>
    <w:p w14:paraId="1B6AF62A" w14:textId="77777777" w:rsidR="00476BBF" w:rsidRPr="00280594" w:rsidRDefault="00476BBF" w:rsidP="00476BBF">
      <w:pPr>
        <w:numPr>
          <w:ilvl w:val="0"/>
          <w:numId w:val="30"/>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Have extensive experience in conflict and cooperation analysis, drafting, diplomacy and negotiations with policy makers;</w:t>
      </w:r>
    </w:p>
    <w:p w14:paraId="71727C33" w14:textId="77777777" w:rsidR="00476BBF" w:rsidRPr="00280594" w:rsidRDefault="00476BBF" w:rsidP="00476BBF">
      <w:pPr>
        <w:numPr>
          <w:ilvl w:val="0"/>
          <w:numId w:val="30"/>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Provide overall experts’ team coordination and leadership in the execution of the assignment;</w:t>
      </w:r>
    </w:p>
    <w:p w14:paraId="5013B3A7" w14:textId="77777777" w:rsidR="00476BBF" w:rsidRPr="00280594" w:rsidRDefault="00476BBF" w:rsidP="00476BBF">
      <w:pPr>
        <w:numPr>
          <w:ilvl w:val="0"/>
          <w:numId w:val="30"/>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Main liaison/ contact person between the </w:t>
      </w:r>
      <w:r w:rsidRPr="00280594">
        <w:rPr>
          <w:rFonts w:ascii="Maiandra GD" w:eastAsia="Times New Roman" w:hAnsi="Maiandra GD" w:cs="Calibri"/>
          <w:color w:val="000000"/>
          <w:kern w:val="20"/>
          <w:sz w:val="20"/>
          <w:szCs w:val="20"/>
          <w:lang w:eastAsia="ja-JP"/>
        </w:rPr>
        <w:t xml:space="preserve">focal institution of the Government of Kenya, </w:t>
      </w:r>
      <w:r w:rsidRPr="00280594">
        <w:rPr>
          <w:rFonts w:ascii="Maiandra GD" w:eastAsia="Times New Roman" w:hAnsi="Maiandra GD" w:cs="Calibri"/>
          <w:color w:val="000000"/>
          <w:kern w:val="20"/>
          <w:sz w:val="20"/>
          <w:szCs w:val="20"/>
          <w:lang w:val="en-GB" w:eastAsia="ja-JP"/>
        </w:rPr>
        <w:t xml:space="preserve">Members of the CSVRA/CSVMS National Bureau, Experts and national and local stakeholders including civil society actors; </w:t>
      </w:r>
    </w:p>
    <w:p w14:paraId="1EDFE2B7" w14:textId="77777777" w:rsidR="00476BBF" w:rsidRPr="00280594" w:rsidRDefault="00476BBF" w:rsidP="00476BBF">
      <w:pPr>
        <w:numPr>
          <w:ilvl w:val="0"/>
          <w:numId w:val="30"/>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 xml:space="preserve">Provide strategic, facilitation, logistical and organisational support to the convening of consultations as well as the review and validation of the report with relevant national and sub-national stakeholders; </w:t>
      </w:r>
    </w:p>
    <w:p w14:paraId="0E09402E" w14:textId="39B06A89" w:rsidR="00476BBF" w:rsidRPr="00280594" w:rsidRDefault="00476BBF" w:rsidP="00476BBF">
      <w:pPr>
        <w:numPr>
          <w:ilvl w:val="0"/>
          <w:numId w:val="30"/>
        </w:numPr>
        <w:spacing w:after="0" w:line="240" w:lineRule="auto"/>
        <w:contextualSpacing/>
        <w:jc w:val="both"/>
        <w:rPr>
          <w:rFonts w:ascii="Maiandra GD" w:eastAsia="Times New Roman" w:hAnsi="Maiandra GD" w:cs="Calibri"/>
          <w:color w:val="000000"/>
          <w:kern w:val="20"/>
          <w:sz w:val="20"/>
          <w:szCs w:val="20"/>
          <w:lang w:val="en-GB" w:eastAsia="ja-JP"/>
        </w:rPr>
      </w:pPr>
      <w:r w:rsidRPr="00280594">
        <w:rPr>
          <w:rFonts w:ascii="Maiandra GD" w:eastAsia="Times New Roman" w:hAnsi="Maiandra GD" w:cs="Calibri"/>
          <w:color w:val="000000"/>
          <w:kern w:val="20"/>
          <w:sz w:val="20"/>
          <w:szCs w:val="20"/>
          <w:lang w:val="en-GB" w:eastAsia="ja-JP"/>
        </w:rPr>
        <w:t>Responsible for delivery of the inception report and the draft CSVRA/CSVMS reports including the Implementation Plan to the focal institution of the government of Kenya, the National Bureau, AU and COMESA.</w:t>
      </w:r>
    </w:p>
    <w:p w14:paraId="59674E28" w14:textId="3D3D5343" w:rsidR="00DC317C" w:rsidRPr="00280594" w:rsidRDefault="00DC317C" w:rsidP="00DC317C">
      <w:pPr>
        <w:pStyle w:val="BodyText"/>
        <w:spacing w:after="120"/>
        <w:rPr>
          <w:rFonts w:ascii="Maiandra GD" w:hAnsi="Maiandra GD" w:cstheme="minorHAnsi"/>
          <w:sz w:val="20"/>
          <w:szCs w:val="20"/>
          <w:lang w:val="en-GB"/>
        </w:rPr>
      </w:pPr>
      <w:r w:rsidRPr="00280594">
        <w:rPr>
          <w:rFonts w:ascii="Maiandra GD" w:hAnsi="Maiandra GD" w:cstheme="minorHAnsi"/>
          <w:sz w:val="20"/>
          <w:szCs w:val="20"/>
          <w:lang w:val="en-GB"/>
        </w:rPr>
        <w:t>In addition to the above requirements, the lead consultant should have the following: -</w:t>
      </w:r>
    </w:p>
    <w:p w14:paraId="6B2E2F91"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An advanced degree in Political Science, International Relations, Peace and or Conflict Studies or International Law and Social Studies or related fields with evidence of the expertise;</w:t>
      </w:r>
    </w:p>
    <w:p w14:paraId="65E3C21D"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At least ten (10) years relevant work experience in the diplomatic service, the AU, any REC/RMs or UN and UN Agencies, a policy research think tank, civil society; or as a lecturer/researcher at a university on one of the disciplines mentioned above;</w:t>
      </w:r>
    </w:p>
    <w:p w14:paraId="6D9AB6DD"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Experience of early warning systems (practical or academic), in particular familiarity with the African Union’s Continental Structural Conflict Prevention Framework (CSCPF) and its underlying analytical tools will be an added advantage;</w:t>
      </w:r>
    </w:p>
    <w:p w14:paraId="63661E70"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Proven country expertise on the history and political system of Kenya and that of the region;</w:t>
      </w:r>
    </w:p>
    <w:p w14:paraId="5FAAAD17"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Excellent analytical and writing skills as well as good communication and presentation skills;</w:t>
      </w:r>
    </w:p>
    <w:p w14:paraId="31BF359B"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Excellent command of English as the working language, both spoken and in writing and knowledge of Kiswahili will be an added advantage;</w:t>
      </w:r>
    </w:p>
    <w:p w14:paraId="0F784484"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A publication record (academic or policy oriented) is a distinct advantage;</w:t>
      </w:r>
    </w:p>
    <w:p w14:paraId="13E94131" w14:textId="77777777" w:rsidR="00DC317C" w:rsidRPr="00280594" w:rsidRDefault="00DC317C" w:rsidP="00DC317C">
      <w:pPr>
        <w:pStyle w:val="BodyText"/>
        <w:numPr>
          <w:ilvl w:val="0"/>
          <w:numId w:val="32"/>
        </w:numPr>
        <w:spacing w:after="120"/>
        <w:rPr>
          <w:rFonts w:ascii="Maiandra GD" w:hAnsi="Maiandra GD" w:cstheme="minorHAnsi"/>
          <w:sz w:val="20"/>
          <w:szCs w:val="20"/>
          <w:lang w:val="en-GB"/>
        </w:rPr>
      </w:pPr>
      <w:r w:rsidRPr="00280594">
        <w:rPr>
          <w:rFonts w:ascii="Maiandra GD" w:hAnsi="Maiandra GD" w:cstheme="minorHAnsi"/>
          <w:sz w:val="20"/>
          <w:szCs w:val="20"/>
          <w:lang w:val="en-GB"/>
        </w:rPr>
        <w:t>Women experts are particularly encouraged to apply.</w:t>
      </w:r>
    </w:p>
    <w:p w14:paraId="7676A1FB" w14:textId="77777777" w:rsidR="00DC317C" w:rsidRPr="00280594" w:rsidRDefault="00DC317C" w:rsidP="00DC317C">
      <w:pPr>
        <w:jc w:val="both"/>
        <w:rPr>
          <w:rFonts w:ascii="Maiandra GD" w:hAnsi="Maiandra GD" w:cstheme="minorHAnsi"/>
          <w:sz w:val="20"/>
          <w:szCs w:val="20"/>
        </w:rPr>
      </w:pPr>
    </w:p>
    <w:p w14:paraId="40EBE241" w14:textId="2431F62A" w:rsidR="001A4A92" w:rsidRPr="00280594" w:rsidRDefault="00B946F4" w:rsidP="00D350A5">
      <w:pPr>
        <w:spacing w:after="0"/>
        <w:jc w:val="both"/>
        <w:rPr>
          <w:rFonts w:ascii="Maiandra GD" w:hAnsi="Maiandra GD"/>
          <w:bCs/>
          <w:snapToGrid w:val="0"/>
          <w:color w:val="000000"/>
          <w:sz w:val="20"/>
          <w:szCs w:val="20"/>
          <w:lang w:val="en-GB" w:eastAsia="en-GB"/>
        </w:rPr>
      </w:pPr>
      <w:r w:rsidRPr="00280594">
        <w:rPr>
          <w:rFonts w:ascii="Maiandra GD" w:hAnsi="Maiandra GD"/>
          <w:snapToGrid w:val="0"/>
          <w:color w:val="000000"/>
          <w:sz w:val="20"/>
          <w:szCs w:val="20"/>
          <w:lang w:val="en-GB" w:eastAsia="en-GB"/>
        </w:rPr>
        <w:lastRenderedPageBreak/>
        <w:t xml:space="preserve">Further, the </w:t>
      </w:r>
      <w:r w:rsidRPr="00280594">
        <w:rPr>
          <w:rFonts w:ascii="Maiandra GD" w:hAnsi="Maiandra GD"/>
          <w:bCs/>
          <w:snapToGrid w:val="0"/>
          <w:color w:val="000000"/>
          <w:sz w:val="20"/>
          <w:szCs w:val="20"/>
          <w:lang w:val="en-GB" w:eastAsia="en-GB"/>
        </w:rPr>
        <w:t>Lead Consultant</w:t>
      </w:r>
      <w:r w:rsidR="00FE6575" w:rsidRPr="00280594">
        <w:rPr>
          <w:rFonts w:ascii="Maiandra GD" w:hAnsi="Maiandra GD"/>
          <w:bCs/>
          <w:snapToGrid w:val="0"/>
          <w:color w:val="000000" w:themeColor="text1"/>
          <w:sz w:val="20"/>
          <w:szCs w:val="20"/>
          <w:lang w:val="en-GB" w:eastAsia="en-GB"/>
        </w:rPr>
        <w:t xml:space="preserve"> </w:t>
      </w:r>
      <w:r w:rsidR="006C470C" w:rsidRPr="00280594">
        <w:rPr>
          <w:rFonts w:ascii="Maiandra GD" w:hAnsi="Maiandra GD"/>
          <w:snapToGrid w:val="0"/>
          <w:color w:val="000000" w:themeColor="text1"/>
          <w:sz w:val="20"/>
          <w:szCs w:val="20"/>
          <w:lang w:val="en-GB" w:eastAsia="en-GB"/>
        </w:rPr>
        <w:t>should</w:t>
      </w:r>
      <w:r w:rsidR="00FE6575" w:rsidRPr="00280594">
        <w:rPr>
          <w:rFonts w:ascii="Maiandra GD" w:hAnsi="Maiandra GD"/>
          <w:bCs/>
          <w:snapToGrid w:val="0"/>
          <w:color w:val="000000" w:themeColor="text1"/>
          <w:sz w:val="20"/>
          <w:szCs w:val="20"/>
          <w:lang w:val="en-GB" w:eastAsia="en-GB"/>
        </w:rPr>
        <w:t xml:space="preserve"> demonstrate </w:t>
      </w:r>
      <w:r w:rsidR="00FE6575" w:rsidRPr="00280594">
        <w:rPr>
          <w:rFonts w:ascii="Maiandra GD" w:hAnsi="Maiandra GD"/>
          <w:bCs/>
          <w:snapToGrid w:val="0"/>
          <w:color w:val="000000"/>
          <w:sz w:val="20"/>
          <w:szCs w:val="20"/>
          <w:lang w:val="en-GB" w:eastAsia="en-GB"/>
        </w:rPr>
        <w:t xml:space="preserve">competencies and expertise in undertaking the assignment by providing evidence of </w:t>
      </w:r>
      <w:r w:rsidRPr="00280594">
        <w:rPr>
          <w:rFonts w:ascii="Maiandra GD" w:hAnsi="Maiandra GD"/>
          <w:bCs/>
          <w:snapToGrid w:val="0"/>
          <w:color w:val="000000"/>
          <w:sz w:val="20"/>
          <w:szCs w:val="20"/>
          <w:lang w:val="en-GB" w:eastAsia="en-GB"/>
        </w:rPr>
        <w:t xml:space="preserve">at least three </w:t>
      </w:r>
      <w:r w:rsidR="00FE6575" w:rsidRPr="00280594">
        <w:rPr>
          <w:rFonts w:ascii="Maiandra GD" w:hAnsi="Maiandra GD"/>
          <w:bCs/>
          <w:snapToGrid w:val="0"/>
          <w:color w:val="000000"/>
          <w:sz w:val="20"/>
          <w:szCs w:val="20"/>
          <w:lang w:val="en-GB" w:eastAsia="en-GB"/>
        </w:rPr>
        <w:t>similar assignments previously accomplished</w:t>
      </w:r>
      <w:r w:rsidR="00605170" w:rsidRPr="00280594">
        <w:rPr>
          <w:rFonts w:ascii="Maiandra GD" w:hAnsi="Maiandra GD"/>
          <w:bCs/>
          <w:snapToGrid w:val="0"/>
          <w:color w:val="000000"/>
          <w:sz w:val="20"/>
          <w:szCs w:val="20"/>
          <w:lang w:val="en-GB" w:eastAsia="en-GB"/>
        </w:rPr>
        <w:t>.</w:t>
      </w:r>
    </w:p>
    <w:p w14:paraId="288BA00D" w14:textId="77777777" w:rsidR="002C7263" w:rsidRPr="00280594" w:rsidRDefault="002C7263" w:rsidP="00D350A5">
      <w:pPr>
        <w:spacing w:after="0"/>
        <w:jc w:val="both"/>
        <w:rPr>
          <w:rFonts w:ascii="Maiandra GD" w:eastAsia="Times New Roman" w:hAnsi="Maiandra GD" w:cs="Times New Roman"/>
          <w:snapToGrid w:val="0"/>
          <w:color w:val="000000"/>
          <w:sz w:val="20"/>
          <w:szCs w:val="20"/>
          <w:lang w:eastAsia="en-GB"/>
        </w:rPr>
      </w:pPr>
    </w:p>
    <w:p w14:paraId="13CF1443" w14:textId="025929B9" w:rsidR="007D022D" w:rsidRPr="00280594" w:rsidRDefault="006D13E6" w:rsidP="00D350A5">
      <w:pPr>
        <w:spacing w:after="0"/>
        <w:jc w:val="both"/>
        <w:rPr>
          <w:rFonts w:ascii="Maiandra GD" w:eastAsia="Times New Roman" w:hAnsi="Maiandra GD" w:cs="Times New Roman"/>
          <w:snapToGrid w:val="0"/>
          <w:color w:val="000000"/>
          <w:sz w:val="20"/>
          <w:szCs w:val="20"/>
          <w:lang w:eastAsia="en-GB"/>
        </w:rPr>
      </w:pPr>
      <w:r w:rsidRPr="00DC07E5">
        <w:rPr>
          <w:rFonts w:ascii="Maiandra GD" w:eastAsia="Times New Roman" w:hAnsi="Maiandra GD" w:cs="Times New Roman"/>
          <w:snapToGrid w:val="0"/>
          <w:color w:val="000000"/>
          <w:sz w:val="20"/>
          <w:szCs w:val="20"/>
          <w:lang w:eastAsia="en-GB"/>
        </w:rPr>
        <w:t>The assign</w:t>
      </w:r>
      <w:r w:rsidR="000F2004" w:rsidRPr="00DC07E5">
        <w:rPr>
          <w:rFonts w:ascii="Maiandra GD" w:eastAsia="Times New Roman" w:hAnsi="Maiandra GD" w:cs="Times New Roman"/>
          <w:snapToGrid w:val="0"/>
          <w:color w:val="000000"/>
          <w:sz w:val="20"/>
          <w:szCs w:val="20"/>
          <w:lang w:eastAsia="en-GB"/>
        </w:rPr>
        <w:t xml:space="preserve">ment </w:t>
      </w:r>
      <w:r w:rsidR="00EA3F61">
        <w:rPr>
          <w:rFonts w:ascii="Maiandra GD" w:eastAsia="Times New Roman" w:hAnsi="Maiandra GD" w:cs="Times New Roman"/>
          <w:snapToGrid w:val="0"/>
          <w:color w:val="000000"/>
          <w:sz w:val="20"/>
          <w:szCs w:val="20"/>
          <w:lang w:eastAsia="en-GB"/>
        </w:rPr>
        <w:t>is expected to</w:t>
      </w:r>
      <w:r w:rsidR="000F2004" w:rsidRPr="00DC07E5">
        <w:rPr>
          <w:rFonts w:ascii="Maiandra GD" w:eastAsia="Times New Roman" w:hAnsi="Maiandra GD" w:cs="Times New Roman"/>
          <w:snapToGrid w:val="0"/>
          <w:color w:val="000000"/>
          <w:sz w:val="20"/>
          <w:szCs w:val="20"/>
          <w:lang w:eastAsia="en-GB"/>
        </w:rPr>
        <w:t xml:space="preserve"> be completed within </w:t>
      </w:r>
      <w:r w:rsidR="00DC07E5" w:rsidRPr="00DC07E5">
        <w:rPr>
          <w:rFonts w:ascii="Maiandra GD" w:eastAsia="Times New Roman" w:hAnsi="Maiandra GD" w:cs="Times New Roman"/>
          <w:snapToGrid w:val="0"/>
          <w:color w:val="000000"/>
          <w:sz w:val="20"/>
          <w:szCs w:val="20"/>
          <w:lang w:eastAsia="en-GB"/>
        </w:rPr>
        <w:t xml:space="preserve">eight </w:t>
      </w:r>
      <w:r w:rsidRPr="00DC07E5">
        <w:rPr>
          <w:rFonts w:ascii="Maiandra GD" w:eastAsia="Times New Roman" w:hAnsi="Maiandra GD" w:cs="Times New Roman"/>
          <w:snapToGrid w:val="0"/>
          <w:color w:val="000000"/>
          <w:sz w:val="20"/>
          <w:szCs w:val="20"/>
          <w:lang w:eastAsia="en-GB"/>
        </w:rPr>
        <w:t>calendar</w:t>
      </w:r>
      <w:r w:rsidR="000F2004" w:rsidRPr="00DC07E5">
        <w:rPr>
          <w:rFonts w:ascii="Maiandra GD" w:eastAsia="Times New Roman" w:hAnsi="Maiandra GD" w:cs="Times New Roman"/>
          <w:snapToGrid w:val="0"/>
          <w:color w:val="000000"/>
          <w:sz w:val="20"/>
          <w:szCs w:val="20"/>
          <w:lang w:eastAsia="en-GB"/>
        </w:rPr>
        <w:t xml:space="preserve"> </w:t>
      </w:r>
      <w:r w:rsidR="00DC07E5" w:rsidRPr="00DC07E5">
        <w:rPr>
          <w:rFonts w:ascii="Maiandra GD" w:eastAsia="Times New Roman" w:hAnsi="Maiandra GD" w:cs="Times New Roman"/>
          <w:snapToGrid w:val="0"/>
          <w:color w:val="000000"/>
          <w:sz w:val="20"/>
          <w:szCs w:val="20"/>
          <w:lang w:eastAsia="en-GB"/>
        </w:rPr>
        <w:t>months</w:t>
      </w:r>
      <w:r w:rsidR="000F2004" w:rsidRPr="00DC07E5">
        <w:rPr>
          <w:rFonts w:ascii="Maiandra GD" w:eastAsia="Times New Roman" w:hAnsi="Maiandra GD" w:cs="Times New Roman"/>
          <w:snapToGrid w:val="0"/>
          <w:color w:val="000000"/>
          <w:sz w:val="20"/>
          <w:szCs w:val="20"/>
          <w:lang w:eastAsia="en-GB"/>
        </w:rPr>
        <w:t xml:space="preserve"> starting from the date</w:t>
      </w:r>
      <w:r w:rsidRPr="00DC07E5">
        <w:rPr>
          <w:rFonts w:ascii="Maiandra GD" w:eastAsia="Times New Roman" w:hAnsi="Maiandra GD" w:cs="Times New Roman"/>
          <w:snapToGrid w:val="0"/>
          <w:color w:val="000000"/>
          <w:sz w:val="20"/>
          <w:szCs w:val="20"/>
          <w:lang w:eastAsia="en-GB"/>
        </w:rPr>
        <w:t xml:space="preserve"> </w:t>
      </w:r>
      <w:r w:rsidR="000F2004" w:rsidRPr="00DC07E5">
        <w:rPr>
          <w:rFonts w:ascii="Maiandra GD" w:eastAsia="Times New Roman" w:hAnsi="Maiandra GD" w:cs="Times New Roman"/>
          <w:snapToGrid w:val="0"/>
          <w:color w:val="000000"/>
          <w:sz w:val="20"/>
          <w:szCs w:val="20"/>
          <w:lang w:eastAsia="en-GB"/>
        </w:rPr>
        <w:t xml:space="preserve">of signing </w:t>
      </w:r>
      <w:r w:rsidR="00F279F5">
        <w:rPr>
          <w:rFonts w:ascii="Maiandra GD" w:eastAsia="Times New Roman" w:hAnsi="Maiandra GD" w:cs="Times New Roman"/>
          <w:snapToGrid w:val="0"/>
          <w:color w:val="000000"/>
          <w:sz w:val="20"/>
          <w:szCs w:val="20"/>
          <w:lang w:eastAsia="en-GB"/>
        </w:rPr>
        <w:t xml:space="preserve">of </w:t>
      </w:r>
      <w:r w:rsidRPr="00DC07E5">
        <w:rPr>
          <w:rFonts w:ascii="Maiandra GD" w:eastAsia="Times New Roman" w:hAnsi="Maiandra GD" w:cs="Times New Roman"/>
          <w:snapToGrid w:val="0"/>
          <w:color w:val="000000"/>
          <w:sz w:val="20"/>
          <w:szCs w:val="20"/>
          <w:lang w:eastAsia="en-GB"/>
        </w:rPr>
        <w:t>the contract agreement</w:t>
      </w:r>
      <w:r w:rsidR="002D0623" w:rsidRPr="00DC07E5">
        <w:rPr>
          <w:rFonts w:ascii="Maiandra GD" w:eastAsia="Times New Roman" w:hAnsi="Maiandra GD" w:cs="Times New Roman"/>
          <w:snapToGrid w:val="0"/>
          <w:color w:val="000000"/>
          <w:sz w:val="20"/>
          <w:szCs w:val="20"/>
          <w:lang w:eastAsia="en-GB"/>
        </w:rPr>
        <w:t>.</w:t>
      </w:r>
      <w:r w:rsidR="00F279F5">
        <w:rPr>
          <w:rFonts w:ascii="Maiandra GD" w:eastAsia="Times New Roman" w:hAnsi="Maiandra GD" w:cs="Times New Roman"/>
          <w:snapToGrid w:val="0"/>
          <w:color w:val="000000"/>
          <w:sz w:val="20"/>
          <w:szCs w:val="20"/>
          <w:lang w:eastAsia="en-GB"/>
        </w:rPr>
        <w:t xml:space="preserve"> Further, </w:t>
      </w:r>
      <w:r w:rsidR="00CC466B">
        <w:rPr>
          <w:rFonts w:ascii="Maiandra GD" w:eastAsia="Times New Roman" w:hAnsi="Maiandra GD" w:cs="Times New Roman"/>
          <w:snapToGrid w:val="0"/>
          <w:color w:val="000000"/>
          <w:sz w:val="20"/>
          <w:szCs w:val="20"/>
          <w:lang w:eastAsia="en-GB"/>
        </w:rPr>
        <w:t xml:space="preserve">note that </w:t>
      </w:r>
      <w:r w:rsidR="00F279F5">
        <w:rPr>
          <w:rFonts w:ascii="Maiandra GD" w:eastAsia="Times New Roman" w:hAnsi="Maiandra GD" w:cs="Times New Roman"/>
          <w:snapToGrid w:val="0"/>
          <w:color w:val="000000"/>
          <w:sz w:val="20"/>
          <w:szCs w:val="20"/>
          <w:lang w:eastAsia="en-GB"/>
        </w:rPr>
        <w:t xml:space="preserve">the successful applicant </w:t>
      </w:r>
      <w:r w:rsidR="00CC466B">
        <w:rPr>
          <w:rFonts w:ascii="Maiandra GD" w:eastAsia="Times New Roman" w:hAnsi="Maiandra GD" w:cs="Times New Roman"/>
          <w:snapToGrid w:val="0"/>
          <w:color w:val="000000"/>
          <w:sz w:val="20"/>
          <w:szCs w:val="20"/>
          <w:lang w:eastAsia="en-GB"/>
        </w:rPr>
        <w:t>through a committee of experts</w:t>
      </w:r>
      <w:r w:rsidR="00EA3F61">
        <w:rPr>
          <w:rFonts w:ascii="Maiandra GD" w:eastAsia="Times New Roman" w:hAnsi="Maiandra GD" w:cs="Times New Roman"/>
          <w:snapToGrid w:val="0"/>
          <w:color w:val="000000"/>
          <w:sz w:val="20"/>
          <w:szCs w:val="20"/>
          <w:lang w:eastAsia="en-GB"/>
        </w:rPr>
        <w:t xml:space="preserve"> </w:t>
      </w:r>
      <w:r w:rsidR="00EA3F61" w:rsidRPr="00EA3F61">
        <w:rPr>
          <w:rFonts w:ascii="Maiandra GD" w:eastAsia="Times New Roman" w:hAnsi="Maiandra GD" w:cs="Times New Roman"/>
          <w:i/>
          <w:snapToGrid w:val="0"/>
          <w:color w:val="000000"/>
          <w:sz w:val="20"/>
          <w:szCs w:val="20"/>
          <w:lang w:eastAsia="en-GB"/>
        </w:rPr>
        <w:t>(appointed by the Government of Kenya)</w:t>
      </w:r>
      <w:r w:rsidR="00CC466B">
        <w:rPr>
          <w:rFonts w:ascii="Maiandra GD" w:eastAsia="Times New Roman" w:hAnsi="Maiandra GD" w:cs="Times New Roman"/>
          <w:snapToGrid w:val="0"/>
          <w:color w:val="000000"/>
          <w:sz w:val="20"/>
          <w:szCs w:val="20"/>
          <w:lang w:eastAsia="en-GB"/>
        </w:rPr>
        <w:t xml:space="preserve"> </w:t>
      </w:r>
      <w:r w:rsidR="00F279F5">
        <w:rPr>
          <w:rFonts w:ascii="Maiandra GD" w:eastAsia="Times New Roman" w:hAnsi="Maiandra GD" w:cs="Times New Roman"/>
          <w:snapToGrid w:val="0"/>
          <w:color w:val="000000"/>
          <w:sz w:val="20"/>
          <w:szCs w:val="20"/>
          <w:lang w:eastAsia="en-GB"/>
        </w:rPr>
        <w:t xml:space="preserve">will be nominated to play the role of a </w:t>
      </w:r>
      <w:r w:rsidR="00F279F5" w:rsidRPr="00CC466B">
        <w:rPr>
          <w:rFonts w:ascii="Maiandra GD" w:eastAsia="Times New Roman" w:hAnsi="Maiandra GD" w:cs="Times New Roman"/>
          <w:b/>
          <w:snapToGrid w:val="0"/>
          <w:color w:val="000000"/>
          <w:sz w:val="20"/>
          <w:szCs w:val="20"/>
          <w:lang w:eastAsia="en-GB"/>
        </w:rPr>
        <w:t>Lead Consultant</w:t>
      </w:r>
      <w:r w:rsidR="00F279F5">
        <w:rPr>
          <w:rFonts w:ascii="Maiandra GD" w:eastAsia="Times New Roman" w:hAnsi="Maiandra GD" w:cs="Times New Roman"/>
          <w:snapToGrid w:val="0"/>
          <w:color w:val="000000"/>
          <w:sz w:val="20"/>
          <w:szCs w:val="20"/>
          <w:lang w:eastAsia="en-GB"/>
        </w:rPr>
        <w:t xml:space="preserve"> for the overall assignment after recruitment by the Africa Union (AU) </w:t>
      </w:r>
      <w:r w:rsidR="00CC466B">
        <w:rPr>
          <w:rFonts w:ascii="Maiandra GD" w:eastAsia="Times New Roman" w:hAnsi="Maiandra GD" w:cs="Times New Roman"/>
          <w:snapToGrid w:val="0"/>
          <w:color w:val="000000"/>
          <w:sz w:val="20"/>
          <w:szCs w:val="20"/>
          <w:lang w:eastAsia="en-GB"/>
        </w:rPr>
        <w:t xml:space="preserve">in collaboration with COMESA, EAC and IGAD. The </w:t>
      </w:r>
      <w:r w:rsidR="00EA3F61">
        <w:rPr>
          <w:rFonts w:ascii="Maiandra GD" w:eastAsia="Times New Roman" w:hAnsi="Maiandra GD" w:cs="Times New Roman"/>
          <w:snapToGrid w:val="0"/>
          <w:color w:val="000000"/>
          <w:sz w:val="20"/>
          <w:szCs w:val="20"/>
          <w:lang w:eastAsia="en-GB"/>
        </w:rPr>
        <w:t xml:space="preserve">consultant will be engaged and remunerated by the AU in accordance with the applicable procurement guidelines, terms and conditions. </w:t>
      </w:r>
      <w:r w:rsidR="00CC466B">
        <w:rPr>
          <w:rFonts w:ascii="Maiandra GD" w:eastAsia="Times New Roman" w:hAnsi="Maiandra GD" w:cs="Times New Roman"/>
          <w:snapToGrid w:val="0"/>
          <w:color w:val="000000"/>
          <w:sz w:val="20"/>
          <w:szCs w:val="20"/>
          <w:lang w:eastAsia="en-GB"/>
        </w:rPr>
        <w:t xml:space="preserve"> </w:t>
      </w:r>
    </w:p>
    <w:p w14:paraId="1ACFF7DC" w14:textId="77777777" w:rsidR="002C7263" w:rsidRPr="00280594" w:rsidRDefault="002C7263" w:rsidP="00D350A5">
      <w:pPr>
        <w:spacing w:after="0"/>
        <w:jc w:val="both"/>
        <w:rPr>
          <w:rFonts w:ascii="Maiandra GD" w:eastAsia="Times New Roman" w:hAnsi="Maiandra GD" w:cs="Times New Roman"/>
          <w:snapToGrid w:val="0"/>
          <w:color w:val="000000"/>
          <w:sz w:val="20"/>
          <w:szCs w:val="20"/>
          <w:lang w:eastAsia="en-GB"/>
        </w:rPr>
      </w:pPr>
    </w:p>
    <w:p w14:paraId="4FE30A68" w14:textId="36FC5822" w:rsidR="002C7263" w:rsidRPr="00280594" w:rsidRDefault="007D022D" w:rsidP="00D350A5">
      <w:pPr>
        <w:tabs>
          <w:tab w:val="left" w:pos="2161"/>
        </w:tabs>
        <w:spacing w:after="0" w:line="20" w:lineRule="atLeast"/>
        <w:jc w:val="both"/>
        <w:rPr>
          <w:rFonts w:ascii="Maiandra GD" w:eastAsia="Times New Roman" w:hAnsi="Maiandra GD" w:cs="Times New Roman"/>
          <w:snapToGrid w:val="0"/>
          <w:color w:val="000000"/>
          <w:sz w:val="20"/>
          <w:szCs w:val="20"/>
          <w:lang w:eastAsia="en-GB"/>
        </w:rPr>
      </w:pPr>
      <w:r w:rsidRPr="00280594">
        <w:rPr>
          <w:rFonts w:ascii="Maiandra GD" w:eastAsia="Times New Roman" w:hAnsi="Maiandra GD" w:cs="Times New Roman"/>
          <w:snapToGrid w:val="0"/>
          <w:color w:val="000000"/>
          <w:sz w:val="20"/>
          <w:szCs w:val="20"/>
          <w:lang w:eastAsia="en-GB"/>
        </w:rPr>
        <w:t xml:space="preserve">Further information </w:t>
      </w:r>
      <w:r w:rsidR="008501B8" w:rsidRPr="00280594">
        <w:rPr>
          <w:rFonts w:ascii="Maiandra GD" w:eastAsia="Times New Roman" w:hAnsi="Maiandra GD" w:cs="Times New Roman"/>
          <w:snapToGrid w:val="0"/>
          <w:color w:val="000000"/>
          <w:sz w:val="20"/>
          <w:szCs w:val="20"/>
          <w:lang w:eastAsia="en-GB"/>
        </w:rPr>
        <w:t xml:space="preserve">regarding the Expression of Interest (EOI) </w:t>
      </w:r>
      <w:r w:rsidRPr="00280594">
        <w:rPr>
          <w:rFonts w:ascii="Maiandra GD" w:eastAsia="Times New Roman" w:hAnsi="Maiandra GD" w:cs="Times New Roman"/>
          <w:snapToGrid w:val="0"/>
          <w:color w:val="000000"/>
          <w:sz w:val="20"/>
          <w:szCs w:val="20"/>
          <w:lang w:eastAsia="en-GB"/>
        </w:rPr>
        <w:t xml:space="preserve">can be obtained from the </w:t>
      </w:r>
      <w:r w:rsidR="00207343" w:rsidRPr="00280594">
        <w:rPr>
          <w:rFonts w:ascii="Maiandra GD" w:eastAsia="Times New Roman" w:hAnsi="Maiandra GD" w:cs="Times New Roman"/>
          <w:snapToGrid w:val="0"/>
          <w:color w:val="000000"/>
          <w:sz w:val="20"/>
          <w:szCs w:val="20"/>
          <w:lang w:eastAsia="en-GB"/>
        </w:rPr>
        <w:t xml:space="preserve">State Department for Foreign </w:t>
      </w:r>
      <w:r w:rsidR="00903A2B">
        <w:rPr>
          <w:rFonts w:ascii="Maiandra GD" w:eastAsia="Times New Roman" w:hAnsi="Maiandra GD" w:cs="Times New Roman"/>
          <w:snapToGrid w:val="0"/>
          <w:color w:val="000000"/>
          <w:sz w:val="20"/>
          <w:szCs w:val="20"/>
          <w:lang w:eastAsia="en-GB"/>
        </w:rPr>
        <w:t>A</w:t>
      </w:r>
      <w:r w:rsidR="00207343" w:rsidRPr="00280594">
        <w:rPr>
          <w:rFonts w:ascii="Maiandra GD" w:eastAsia="Times New Roman" w:hAnsi="Maiandra GD" w:cs="Times New Roman"/>
          <w:snapToGrid w:val="0"/>
          <w:color w:val="000000"/>
          <w:sz w:val="20"/>
          <w:szCs w:val="20"/>
          <w:lang w:eastAsia="en-GB"/>
        </w:rPr>
        <w:t>ffairs</w:t>
      </w:r>
      <w:r w:rsidR="00903A2B">
        <w:rPr>
          <w:rFonts w:ascii="Maiandra GD" w:eastAsia="Times New Roman" w:hAnsi="Maiandra GD" w:cs="Times New Roman"/>
          <w:snapToGrid w:val="0"/>
          <w:color w:val="000000"/>
          <w:sz w:val="20"/>
          <w:szCs w:val="20"/>
          <w:lang w:eastAsia="en-GB"/>
        </w:rPr>
        <w:t>;</w:t>
      </w:r>
      <w:r w:rsidR="00207343" w:rsidRPr="00280594">
        <w:rPr>
          <w:rFonts w:ascii="Maiandra GD" w:eastAsia="Times New Roman" w:hAnsi="Maiandra GD" w:cs="Times New Roman"/>
          <w:snapToGrid w:val="0"/>
          <w:color w:val="000000"/>
          <w:sz w:val="20"/>
          <w:szCs w:val="20"/>
          <w:lang w:eastAsia="en-GB"/>
        </w:rPr>
        <w:t xml:space="preserve"> </w:t>
      </w:r>
      <w:r w:rsidR="00EA3F61">
        <w:rPr>
          <w:rFonts w:ascii="Maiandra GD" w:eastAsia="Times New Roman" w:hAnsi="Maiandra GD" w:cs="Times New Roman"/>
          <w:snapToGrid w:val="0"/>
          <w:color w:val="000000"/>
          <w:sz w:val="20"/>
          <w:szCs w:val="20"/>
          <w:lang w:eastAsia="en-GB"/>
        </w:rPr>
        <w:t>Economic Affairs Department</w:t>
      </w:r>
      <w:r w:rsidR="00207343" w:rsidRPr="00280594">
        <w:rPr>
          <w:rFonts w:ascii="Maiandra GD" w:eastAsia="Times New Roman" w:hAnsi="Maiandra GD" w:cs="Times New Roman"/>
          <w:snapToGrid w:val="0"/>
          <w:color w:val="000000"/>
          <w:sz w:val="20"/>
          <w:szCs w:val="20"/>
          <w:lang w:eastAsia="en-GB"/>
        </w:rPr>
        <w:t xml:space="preserve"> </w:t>
      </w:r>
      <w:r w:rsidR="001610D9">
        <w:rPr>
          <w:rFonts w:ascii="Maiandra GD" w:eastAsia="Times New Roman" w:hAnsi="Maiandra GD" w:cs="Times New Roman"/>
          <w:snapToGrid w:val="0"/>
          <w:color w:val="000000"/>
          <w:sz w:val="20"/>
          <w:szCs w:val="20"/>
          <w:lang w:eastAsia="en-GB"/>
        </w:rPr>
        <w:t xml:space="preserve">Upper Hill </w:t>
      </w:r>
      <w:r w:rsidR="00023FDD">
        <w:rPr>
          <w:rFonts w:ascii="Maiandra GD" w:eastAsia="Times New Roman" w:hAnsi="Maiandra GD" w:cs="Times New Roman"/>
          <w:snapToGrid w:val="0"/>
          <w:color w:val="000000"/>
          <w:sz w:val="20"/>
          <w:szCs w:val="20"/>
          <w:lang w:eastAsia="en-GB"/>
        </w:rPr>
        <w:t>316 Chambers, Upper Hill, 13</w:t>
      </w:r>
      <w:r w:rsidR="00023FDD" w:rsidRPr="00023FDD">
        <w:rPr>
          <w:rFonts w:ascii="Maiandra GD" w:eastAsia="Times New Roman" w:hAnsi="Maiandra GD" w:cs="Times New Roman"/>
          <w:snapToGrid w:val="0"/>
          <w:color w:val="000000"/>
          <w:sz w:val="20"/>
          <w:szCs w:val="20"/>
          <w:vertAlign w:val="superscript"/>
          <w:lang w:eastAsia="en-GB"/>
        </w:rPr>
        <w:t>th</w:t>
      </w:r>
      <w:r w:rsidR="00023FDD">
        <w:rPr>
          <w:rFonts w:ascii="Maiandra GD" w:eastAsia="Times New Roman" w:hAnsi="Maiandra GD" w:cs="Times New Roman"/>
          <w:snapToGrid w:val="0"/>
          <w:color w:val="000000"/>
          <w:sz w:val="20"/>
          <w:szCs w:val="20"/>
          <w:lang w:eastAsia="en-GB"/>
        </w:rPr>
        <w:t xml:space="preserve"> </w:t>
      </w:r>
      <w:r w:rsidR="00207343" w:rsidRPr="00280594">
        <w:rPr>
          <w:rFonts w:ascii="Maiandra GD" w:eastAsia="Times New Roman" w:hAnsi="Maiandra GD" w:cs="Times New Roman"/>
          <w:snapToGrid w:val="0"/>
          <w:color w:val="000000"/>
          <w:sz w:val="20"/>
          <w:szCs w:val="20"/>
          <w:lang w:eastAsia="en-GB"/>
        </w:rPr>
        <w:t xml:space="preserve">Floor Room </w:t>
      </w:r>
      <w:r w:rsidR="00023FDD">
        <w:rPr>
          <w:rFonts w:ascii="Maiandra GD" w:eastAsia="Times New Roman" w:hAnsi="Maiandra GD" w:cs="Times New Roman"/>
          <w:snapToGrid w:val="0"/>
          <w:color w:val="000000"/>
          <w:sz w:val="20"/>
          <w:szCs w:val="20"/>
          <w:lang w:eastAsia="en-GB"/>
        </w:rPr>
        <w:t>1311</w:t>
      </w:r>
      <w:r w:rsidR="00903A2B">
        <w:rPr>
          <w:rFonts w:ascii="Maiandra GD" w:eastAsia="Times New Roman" w:hAnsi="Maiandra GD" w:cs="Times New Roman"/>
          <w:snapToGrid w:val="0"/>
          <w:color w:val="000000"/>
          <w:sz w:val="20"/>
          <w:szCs w:val="20"/>
          <w:lang w:eastAsia="en-GB"/>
        </w:rPr>
        <w:t xml:space="preserve"> or the Ministry’ s website </w:t>
      </w:r>
      <w:hyperlink r:id="rId10" w:history="1">
        <w:r w:rsidR="00903A2B" w:rsidRPr="00B4159E">
          <w:rPr>
            <w:rStyle w:val="Hyperlink"/>
            <w:rFonts w:ascii="Maiandra GD" w:eastAsia="Times New Roman" w:hAnsi="Maiandra GD" w:cs="Times New Roman"/>
            <w:snapToGrid w:val="0"/>
            <w:sz w:val="20"/>
            <w:szCs w:val="20"/>
            <w:lang w:eastAsia="en-GB"/>
          </w:rPr>
          <w:t>www.mfa.go.ke</w:t>
        </w:r>
      </w:hyperlink>
      <w:r w:rsidR="00903A2B">
        <w:rPr>
          <w:rFonts w:ascii="Maiandra GD" w:eastAsia="Times New Roman" w:hAnsi="Maiandra GD" w:cs="Times New Roman"/>
          <w:snapToGrid w:val="0"/>
          <w:color w:val="000000"/>
          <w:sz w:val="20"/>
          <w:szCs w:val="20"/>
          <w:lang w:eastAsia="en-GB"/>
        </w:rPr>
        <w:t xml:space="preserve"> </w:t>
      </w:r>
      <w:r w:rsidR="00207343" w:rsidRPr="00280594">
        <w:rPr>
          <w:rFonts w:ascii="Maiandra GD" w:eastAsia="Times New Roman" w:hAnsi="Maiandra GD" w:cs="Times New Roman"/>
          <w:snapToGrid w:val="0"/>
          <w:color w:val="000000"/>
          <w:sz w:val="20"/>
          <w:szCs w:val="20"/>
          <w:lang w:eastAsia="en-GB"/>
        </w:rPr>
        <w:t xml:space="preserve"> from Monday to Friday excluding weekends and public holidays</w:t>
      </w:r>
      <w:r w:rsidR="00903A2B">
        <w:rPr>
          <w:rFonts w:ascii="Maiandra GD" w:eastAsia="Times New Roman" w:hAnsi="Maiandra GD" w:cs="Times New Roman"/>
          <w:snapToGrid w:val="0"/>
          <w:color w:val="000000"/>
          <w:sz w:val="20"/>
          <w:szCs w:val="20"/>
          <w:lang w:eastAsia="en-GB"/>
        </w:rPr>
        <w:t>;</w:t>
      </w:r>
      <w:r w:rsidR="00207343" w:rsidRPr="00280594">
        <w:rPr>
          <w:rFonts w:ascii="Maiandra GD" w:eastAsia="Times New Roman" w:hAnsi="Maiandra GD" w:cs="Times New Roman"/>
          <w:snapToGrid w:val="0"/>
          <w:color w:val="000000"/>
          <w:sz w:val="20"/>
          <w:szCs w:val="20"/>
          <w:lang w:eastAsia="en-GB"/>
        </w:rPr>
        <w:t xml:space="preserve"> from </w:t>
      </w:r>
      <w:r w:rsidR="00207343" w:rsidRPr="00280594">
        <w:rPr>
          <w:rFonts w:ascii="Maiandra GD" w:eastAsia="Times New Roman" w:hAnsi="Maiandra GD" w:cs="Times New Roman"/>
          <w:b/>
          <w:snapToGrid w:val="0"/>
          <w:color w:val="000000"/>
          <w:sz w:val="20"/>
          <w:szCs w:val="20"/>
          <w:lang w:eastAsia="en-GB"/>
        </w:rPr>
        <w:t xml:space="preserve">8.00 a.m. to 5.00 </w:t>
      </w:r>
      <w:r w:rsidR="00903A2B" w:rsidRPr="00280594">
        <w:rPr>
          <w:rFonts w:ascii="Maiandra GD" w:eastAsia="Times New Roman" w:hAnsi="Maiandra GD" w:cs="Times New Roman"/>
          <w:b/>
          <w:snapToGrid w:val="0"/>
          <w:color w:val="000000"/>
          <w:sz w:val="20"/>
          <w:szCs w:val="20"/>
          <w:lang w:eastAsia="en-GB"/>
        </w:rPr>
        <w:t>p.m.</w:t>
      </w:r>
      <w:r w:rsidR="00903A2B">
        <w:rPr>
          <w:rFonts w:ascii="Maiandra GD" w:eastAsia="Times New Roman" w:hAnsi="Maiandra GD" w:cs="Times New Roman"/>
          <w:b/>
          <w:snapToGrid w:val="0"/>
          <w:color w:val="000000"/>
          <w:sz w:val="20"/>
          <w:szCs w:val="20"/>
          <w:lang w:eastAsia="en-GB"/>
        </w:rPr>
        <w:t>;</w:t>
      </w:r>
      <w:r w:rsidR="0070038D">
        <w:rPr>
          <w:rFonts w:ascii="Maiandra GD" w:eastAsia="Times New Roman" w:hAnsi="Maiandra GD" w:cs="Times New Roman"/>
          <w:b/>
          <w:snapToGrid w:val="0"/>
          <w:color w:val="000000"/>
          <w:sz w:val="20"/>
          <w:szCs w:val="20"/>
          <w:lang w:eastAsia="en-GB"/>
        </w:rPr>
        <w:t xml:space="preserve"> </w:t>
      </w:r>
      <w:r w:rsidR="0070038D" w:rsidRPr="0070038D">
        <w:rPr>
          <w:rFonts w:ascii="Maiandra GD" w:eastAsia="Times New Roman" w:hAnsi="Maiandra GD" w:cs="Times New Roman"/>
          <w:snapToGrid w:val="0"/>
          <w:color w:val="000000"/>
          <w:sz w:val="20"/>
          <w:szCs w:val="20"/>
          <w:lang w:eastAsia="en-GB"/>
        </w:rPr>
        <w:t>or</w:t>
      </w:r>
      <w:r w:rsidR="002C7263" w:rsidRPr="00280594">
        <w:rPr>
          <w:rFonts w:ascii="Maiandra GD" w:eastAsia="Times New Roman" w:hAnsi="Maiandra GD" w:cs="Times New Roman"/>
          <w:b/>
          <w:snapToGrid w:val="0"/>
          <w:color w:val="000000"/>
          <w:sz w:val="20"/>
          <w:szCs w:val="20"/>
          <w:lang w:eastAsia="en-GB"/>
        </w:rPr>
        <w:t xml:space="preserve"> </w:t>
      </w:r>
      <w:r w:rsidR="0070038D">
        <w:rPr>
          <w:rFonts w:ascii="Maiandra GD" w:eastAsia="Times New Roman" w:hAnsi="Maiandra GD" w:cs="Times New Roman"/>
          <w:snapToGrid w:val="0"/>
          <w:color w:val="000000"/>
          <w:sz w:val="20"/>
          <w:szCs w:val="20"/>
          <w:lang w:eastAsia="en-GB"/>
        </w:rPr>
        <w:t xml:space="preserve">from Mr. Evans Maturu or Janet Chepkorir on Tel. No.3318888 Ext. 873/874 or Email: </w:t>
      </w:r>
      <w:hyperlink r:id="rId11" w:history="1">
        <w:r w:rsidR="0070038D" w:rsidRPr="00B4159E">
          <w:rPr>
            <w:rStyle w:val="Hyperlink"/>
            <w:rFonts w:ascii="Maiandra GD" w:eastAsia="Times New Roman" w:hAnsi="Maiandra GD" w:cs="Times New Roman"/>
            <w:snapToGrid w:val="0"/>
            <w:sz w:val="20"/>
            <w:szCs w:val="20"/>
            <w:lang w:eastAsia="en-GB"/>
          </w:rPr>
          <w:t>economic@mfa.go.ke / economicaffairs2018@gmail.com</w:t>
        </w:r>
      </w:hyperlink>
      <w:r w:rsidR="0070038D">
        <w:rPr>
          <w:rFonts w:ascii="Maiandra GD" w:eastAsia="Times New Roman" w:hAnsi="Maiandra GD" w:cs="Times New Roman"/>
          <w:snapToGrid w:val="0"/>
          <w:color w:val="000000"/>
          <w:sz w:val="20"/>
          <w:szCs w:val="20"/>
          <w:lang w:eastAsia="en-GB"/>
        </w:rPr>
        <w:t xml:space="preserve">. </w:t>
      </w:r>
      <w:r w:rsidRPr="00280594">
        <w:rPr>
          <w:rFonts w:ascii="Maiandra GD" w:eastAsia="Times New Roman" w:hAnsi="Maiandra GD" w:cs="Times New Roman"/>
          <w:snapToGrid w:val="0"/>
          <w:color w:val="000000"/>
          <w:sz w:val="20"/>
          <w:szCs w:val="20"/>
          <w:lang w:eastAsia="en-GB"/>
        </w:rPr>
        <w:t>Expressions of interest in a written form</w:t>
      </w:r>
      <w:r w:rsidR="00C922E3" w:rsidRPr="00280594">
        <w:rPr>
          <w:rFonts w:ascii="Maiandra GD" w:eastAsia="Times New Roman" w:hAnsi="Maiandra GD" w:cs="Times New Roman"/>
          <w:snapToGrid w:val="0"/>
          <w:color w:val="000000"/>
          <w:sz w:val="20"/>
          <w:szCs w:val="20"/>
          <w:lang w:eastAsia="en-GB"/>
        </w:rPr>
        <w:t xml:space="preserve"> in English language</w:t>
      </w:r>
      <w:r w:rsidRPr="00280594">
        <w:rPr>
          <w:rFonts w:ascii="Maiandra GD" w:eastAsia="Times New Roman" w:hAnsi="Maiandra GD" w:cs="Times New Roman"/>
          <w:snapToGrid w:val="0"/>
          <w:color w:val="000000"/>
          <w:sz w:val="20"/>
          <w:szCs w:val="20"/>
          <w:lang w:eastAsia="en-GB"/>
        </w:rPr>
        <w:t xml:space="preserve"> should be addressed to</w:t>
      </w:r>
      <w:r w:rsidR="001263B9" w:rsidRPr="00280594">
        <w:rPr>
          <w:rFonts w:ascii="Maiandra GD" w:eastAsia="Times New Roman" w:hAnsi="Maiandra GD" w:cs="Times New Roman"/>
          <w:snapToGrid w:val="0"/>
          <w:color w:val="000000"/>
          <w:sz w:val="20"/>
          <w:szCs w:val="20"/>
          <w:lang w:eastAsia="en-GB"/>
        </w:rPr>
        <w:t>;</w:t>
      </w:r>
      <w:r w:rsidRPr="00280594">
        <w:rPr>
          <w:rFonts w:ascii="Maiandra GD" w:eastAsia="Times New Roman" w:hAnsi="Maiandra GD" w:cs="Times New Roman"/>
          <w:snapToGrid w:val="0"/>
          <w:color w:val="000000"/>
          <w:sz w:val="20"/>
          <w:szCs w:val="20"/>
          <w:lang w:eastAsia="en-GB"/>
        </w:rPr>
        <w:t xml:space="preserve"> </w:t>
      </w:r>
    </w:p>
    <w:p w14:paraId="7AA0720B" w14:textId="77777777" w:rsidR="002C7263" w:rsidRPr="00280594" w:rsidRDefault="002C7263" w:rsidP="00D350A5">
      <w:pPr>
        <w:tabs>
          <w:tab w:val="left" w:pos="2161"/>
        </w:tabs>
        <w:spacing w:after="0" w:line="20" w:lineRule="atLeast"/>
        <w:jc w:val="both"/>
        <w:rPr>
          <w:rFonts w:ascii="Maiandra GD" w:eastAsia="Times New Roman" w:hAnsi="Maiandra GD" w:cs="Times New Roman"/>
          <w:snapToGrid w:val="0"/>
          <w:color w:val="000000"/>
          <w:sz w:val="20"/>
          <w:szCs w:val="20"/>
          <w:lang w:eastAsia="en-GB"/>
        </w:rPr>
      </w:pPr>
    </w:p>
    <w:p w14:paraId="37859278" w14:textId="2CBB8F19" w:rsidR="001E5920" w:rsidRPr="00280594" w:rsidRDefault="007D022D" w:rsidP="00D350A5">
      <w:pPr>
        <w:tabs>
          <w:tab w:val="left" w:pos="2161"/>
        </w:tabs>
        <w:spacing w:after="0" w:line="20" w:lineRule="atLeast"/>
        <w:jc w:val="both"/>
        <w:rPr>
          <w:rFonts w:ascii="Maiandra GD" w:hAnsi="Maiandra GD"/>
          <w:b/>
          <w:bCs/>
          <w:snapToGrid w:val="0"/>
          <w:color w:val="000000" w:themeColor="text1"/>
          <w:sz w:val="20"/>
          <w:szCs w:val="20"/>
          <w:lang w:eastAsia="en-GB"/>
        </w:rPr>
      </w:pPr>
      <w:r w:rsidRPr="00280594">
        <w:rPr>
          <w:rFonts w:ascii="Maiandra GD" w:eastAsia="Times New Roman" w:hAnsi="Maiandra GD" w:cs="Times New Roman"/>
          <w:b/>
          <w:snapToGrid w:val="0"/>
          <w:color w:val="000000"/>
          <w:sz w:val="20"/>
          <w:szCs w:val="20"/>
          <w:lang w:eastAsia="en-GB"/>
        </w:rPr>
        <w:t>Principal Secretary, State D</w:t>
      </w:r>
      <w:r w:rsidR="00582A37" w:rsidRPr="00280594">
        <w:rPr>
          <w:rFonts w:ascii="Maiandra GD" w:eastAsia="Times New Roman" w:hAnsi="Maiandra GD" w:cs="Times New Roman"/>
          <w:b/>
          <w:snapToGrid w:val="0"/>
          <w:color w:val="000000"/>
          <w:sz w:val="20"/>
          <w:szCs w:val="20"/>
          <w:lang w:eastAsia="en-GB"/>
        </w:rPr>
        <w:t xml:space="preserve">epartment for </w:t>
      </w:r>
      <w:r w:rsidR="00207343" w:rsidRPr="00280594">
        <w:rPr>
          <w:rFonts w:ascii="Maiandra GD" w:eastAsia="Times New Roman" w:hAnsi="Maiandra GD" w:cs="Times New Roman"/>
          <w:b/>
          <w:snapToGrid w:val="0"/>
          <w:color w:val="000000"/>
          <w:sz w:val="20"/>
          <w:szCs w:val="20"/>
          <w:lang w:eastAsia="en-GB"/>
        </w:rPr>
        <w:t>Foreign Affairs; P.O. Box 30551</w:t>
      </w:r>
      <w:r w:rsidRPr="00280594">
        <w:rPr>
          <w:rFonts w:ascii="Maiandra GD" w:eastAsia="Times New Roman" w:hAnsi="Maiandra GD" w:cs="Times New Roman"/>
          <w:b/>
          <w:snapToGrid w:val="0"/>
          <w:color w:val="000000"/>
          <w:sz w:val="20"/>
          <w:szCs w:val="20"/>
          <w:lang w:eastAsia="en-GB"/>
        </w:rPr>
        <w:t>-00100 Nairobi</w:t>
      </w:r>
      <w:r w:rsidRPr="00280594">
        <w:rPr>
          <w:rFonts w:ascii="Maiandra GD" w:eastAsia="Times New Roman" w:hAnsi="Maiandra GD" w:cs="Times New Roman"/>
          <w:snapToGrid w:val="0"/>
          <w:color w:val="000000"/>
          <w:sz w:val="20"/>
          <w:szCs w:val="20"/>
          <w:lang w:eastAsia="en-GB"/>
        </w:rPr>
        <w:t xml:space="preserve"> and be deposited in</w:t>
      </w:r>
      <w:r w:rsidR="00C922E3" w:rsidRPr="00280594">
        <w:rPr>
          <w:rFonts w:ascii="Maiandra GD" w:eastAsia="Times New Roman" w:hAnsi="Maiandra GD" w:cs="Times New Roman"/>
          <w:snapToGrid w:val="0"/>
          <w:color w:val="000000"/>
          <w:sz w:val="20"/>
          <w:szCs w:val="20"/>
          <w:lang w:eastAsia="en-GB"/>
        </w:rPr>
        <w:t xml:space="preserve"> </w:t>
      </w:r>
      <w:r w:rsidRPr="00280594">
        <w:rPr>
          <w:rFonts w:ascii="Maiandra GD" w:eastAsia="Times New Roman" w:hAnsi="Maiandra GD" w:cs="Times New Roman"/>
          <w:snapToGrid w:val="0"/>
          <w:color w:val="000000"/>
          <w:sz w:val="20"/>
          <w:szCs w:val="20"/>
          <w:lang w:eastAsia="en-GB"/>
        </w:rPr>
        <w:t>the Tender box</w:t>
      </w:r>
      <w:r w:rsidR="00DA75A0" w:rsidRPr="00280594">
        <w:rPr>
          <w:rFonts w:ascii="Maiandra GD" w:eastAsia="Times New Roman" w:hAnsi="Maiandra GD" w:cs="Times New Roman"/>
          <w:snapToGrid w:val="0"/>
          <w:color w:val="000000"/>
          <w:sz w:val="20"/>
          <w:szCs w:val="20"/>
          <w:lang w:eastAsia="en-GB"/>
        </w:rPr>
        <w:t xml:space="preserve"> located at Old Treasury building </w:t>
      </w:r>
      <w:r w:rsidR="00DA75A0" w:rsidRPr="00280594">
        <w:rPr>
          <w:rFonts w:ascii="Maiandra GD" w:eastAsia="Times New Roman" w:hAnsi="Maiandra GD" w:cs="Times New Roman"/>
          <w:b/>
          <w:snapToGrid w:val="0"/>
          <w:color w:val="000000"/>
          <w:sz w:val="20"/>
          <w:szCs w:val="20"/>
          <w:lang w:eastAsia="en-GB"/>
        </w:rPr>
        <w:t xml:space="preserve">Main reception; Ground floor, Harambee Avenue, Nairobi </w:t>
      </w:r>
      <w:r w:rsidR="00DA75A0" w:rsidRPr="00280594">
        <w:rPr>
          <w:rFonts w:ascii="Maiandra GD" w:eastAsia="Times New Roman" w:hAnsi="Maiandra GD" w:cs="Times New Roman"/>
          <w:snapToGrid w:val="0"/>
          <w:color w:val="000000"/>
          <w:sz w:val="20"/>
          <w:szCs w:val="20"/>
          <w:lang w:eastAsia="en-GB"/>
        </w:rPr>
        <w:t xml:space="preserve">on or before </w:t>
      </w:r>
      <w:r w:rsidR="000231B2">
        <w:rPr>
          <w:rFonts w:ascii="Maiandra GD" w:eastAsia="Times New Roman" w:hAnsi="Maiandra GD" w:cs="Times New Roman"/>
          <w:b/>
          <w:snapToGrid w:val="0"/>
          <w:color w:val="000000"/>
          <w:sz w:val="20"/>
          <w:szCs w:val="20"/>
          <w:lang w:eastAsia="en-GB"/>
        </w:rPr>
        <w:t>12</w:t>
      </w:r>
      <w:r w:rsidR="000231B2" w:rsidRPr="000231B2">
        <w:rPr>
          <w:rFonts w:ascii="Maiandra GD" w:eastAsia="Times New Roman" w:hAnsi="Maiandra GD" w:cs="Times New Roman"/>
          <w:b/>
          <w:snapToGrid w:val="0"/>
          <w:color w:val="000000"/>
          <w:sz w:val="20"/>
          <w:szCs w:val="20"/>
          <w:vertAlign w:val="superscript"/>
          <w:lang w:eastAsia="en-GB"/>
        </w:rPr>
        <w:t>th</w:t>
      </w:r>
      <w:r w:rsidR="000231B2">
        <w:rPr>
          <w:rFonts w:ascii="Maiandra GD" w:eastAsia="Times New Roman" w:hAnsi="Maiandra GD" w:cs="Times New Roman"/>
          <w:b/>
          <w:snapToGrid w:val="0"/>
          <w:color w:val="000000"/>
          <w:sz w:val="20"/>
          <w:szCs w:val="20"/>
          <w:lang w:eastAsia="en-GB"/>
        </w:rPr>
        <w:t xml:space="preserve"> November</w:t>
      </w:r>
      <w:r w:rsidR="00280594" w:rsidRPr="00280594">
        <w:rPr>
          <w:rFonts w:ascii="Maiandra GD" w:eastAsia="Times New Roman" w:hAnsi="Maiandra GD" w:cs="Times New Roman"/>
          <w:b/>
          <w:snapToGrid w:val="0"/>
          <w:color w:val="000000"/>
          <w:sz w:val="20"/>
          <w:szCs w:val="20"/>
          <w:lang w:eastAsia="en-GB"/>
        </w:rPr>
        <w:t>,</w:t>
      </w:r>
      <w:r w:rsidR="00DA75A0" w:rsidRPr="00280594">
        <w:rPr>
          <w:rFonts w:ascii="Maiandra GD" w:eastAsia="Times New Roman" w:hAnsi="Maiandra GD" w:cs="Times New Roman"/>
          <w:b/>
          <w:snapToGrid w:val="0"/>
          <w:color w:val="000000"/>
          <w:sz w:val="20"/>
          <w:szCs w:val="20"/>
          <w:lang w:eastAsia="en-GB"/>
        </w:rPr>
        <w:t xml:space="preserve"> 202</w:t>
      </w:r>
      <w:r w:rsidR="00280594" w:rsidRPr="00280594">
        <w:rPr>
          <w:rFonts w:ascii="Maiandra GD" w:eastAsia="Times New Roman" w:hAnsi="Maiandra GD" w:cs="Times New Roman"/>
          <w:b/>
          <w:snapToGrid w:val="0"/>
          <w:color w:val="000000"/>
          <w:sz w:val="20"/>
          <w:szCs w:val="20"/>
          <w:lang w:eastAsia="en-GB"/>
        </w:rPr>
        <w:t>5</w:t>
      </w:r>
      <w:r w:rsidR="00DA75A0" w:rsidRPr="00280594">
        <w:rPr>
          <w:rFonts w:ascii="Maiandra GD" w:eastAsia="Times New Roman" w:hAnsi="Maiandra GD" w:cs="Times New Roman"/>
          <w:b/>
          <w:snapToGrid w:val="0"/>
          <w:color w:val="000000"/>
          <w:sz w:val="20"/>
          <w:szCs w:val="20"/>
          <w:lang w:eastAsia="en-GB"/>
        </w:rPr>
        <w:t xml:space="preserve"> at 1</w:t>
      </w:r>
      <w:r w:rsidR="00280594" w:rsidRPr="00280594">
        <w:rPr>
          <w:rFonts w:ascii="Maiandra GD" w:eastAsia="Times New Roman" w:hAnsi="Maiandra GD" w:cs="Times New Roman"/>
          <w:b/>
          <w:snapToGrid w:val="0"/>
          <w:color w:val="000000"/>
          <w:sz w:val="20"/>
          <w:szCs w:val="20"/>
          <w:lang w:eastAsia="en-GB"/>
        </w:rPr>
        <w:t>1</w:t>
      </w:r>
      <w:r w:rsidR="00DA75A0" w:rsidRPr="00280594">
        <w:rPr>
          <w:rFonts w:ascii="Maiandra GD" w:eastAsia="Times New Roman" w:hAnsi="Maiandra GD" w:cs="Times New Roman"/>
          <w:b/>
          <w:snapToGrid w:val="0"/>
          <w:color w:val="000000"/>
          <w:sz w:val="20"/>
          <w:szCs w:val="20"/>
          <w:lang w:eastAsia="en-GB"/>
        </w:rPr>
        <w:t>.</w:t>
      </w:r>
      <w:r w:rsidR="00280594" w:rsidRPr="00280594">
        <w:rPr>
          <w:rFonts w:ascii="Maiandra GD" w:eastAsia="Times New Roman" w:hAnsi="Maiandra GD" w:cs="Times New Roman"/>
          <w:b/>
          <w:snapToGrid w:val="0"/>
          <w:color w:val="000000"/>
          <w:sz w:val="20"/>
          <w:szCs w:val="20"/>
          <w:lang w:eastAsia="en-GB"/>
        </w:rPr>
        <w:t>0</w:t>
      </w:r>
      <w:r w:rsidR="00DA75A0" w:rsidRPr="00280594">
        <w:rPr>
          <w:rFonts w:ascii="Maiandra GD" w:eastAsia="Times New Roman" w:hAnsi="Maiandra GD" w:cs="Times New Roman"/>
          <w:b/>
          <w:snapToGrid w:val="0"/>
          <w:color w:val="000000"/>
          <w:sz w:val="20"/>
          <w:szCs w:val="20"/>
          <w:lang w:eastAsia="en-GB"/>
        </w:rPr>
        <w:t xml:space="preserve">0 </w:t>
      </w:r>
      <w:r w:rsidR="00280594" w:rsidRPr="00280594">
        <w:rPr>
          <w:rFonts w:ascii="Maiandra GD" w:eastAsia="Times New Roman" w:hAnsi="Maiandra GD" w:cs="Times New Roman"/>
          <w:b/>
          <w:snapToGrid w:val="0"/>
          <w:color w:val="000000"/>
          <w:sz w:val="20"/>
          <w:szCs w:val="20"/>
          <w:lang w:eastAsia="en-GB"/>
        </w:rPr>
        <w:t>A.M</w:t>
      </w:r>
      <w:r w:rsidR="00DA75A0" w:rsidRPr="00280594">
        <w:rPr>
          <w:rFonts w:ascii="Maiandra GD" w:eastAsia="Times New Roman" w:hAnsi="Maiandra GD" w:cs="Times New Roman"/>
          <w:b/>
          <w:snapToGrid w:val="0"/>
          <w:color w:val="000000"/>
          <w:sz w:val="20"/>
          <w:szCs w:val="20"/>
          <w:lang w:eastAsia="en-GB"/>
        </w:rPr>
        <w:t>. East African Time</w:t>
      </w:r>
      <w:r w:rsidRPr="00280594">
        <w:rPr>
          <w:rFonts w:ascii="Maiandra GD" w:eastAsia="Times New Roman" w:hAnsi="Maiandra GD" w:cs="Times New Roman"/>
          <w:b/>
          <w:snapToGrid w:val="0"/>
          <w:color w:val="000000"/>
          <w:sz w:val="20"/>
          <w:szCs w:val="20"/>
          <w:lang w:eastAsia="en-GB"/>
        </w:rPr>
        <w:t xml:space="preserve">. </w:t>
      </w:r>
      <w:r w:rsidR="00C922E3" w:rsidRPr="00280594">
        <w:rPr>
          <w:rFonts w:ascii="Maiandra GD" w:eastAsia="Times New Roman" w:hAnsi="Maiandra GD" w:cs="Times New Roman"/>
          <w:b/>
          <w:snapToGrid w:val="0"/>
          <w:color w:val="000000"/>
          <w:sz w:val="20"/>
          <w:szCs w:val="20"/>
          <w:lang w:eastAsia="en-GB"/>
        </w:rPr>
        <w:t xml:space="preserve"> </w:t>
      </w:r>
      <w:r w:rsidRPr="00280594">
        <w:rPr>
          <w:rFonts w:ascii="Maiandra GD" w:eastAsia="Times New Roman" w:hAnsi="Maiandra GD" w:cs="Times New Roman"/>
          <w:snapToGrid w:val="0"/>
          <w:color w:val="000000"/>
          <w:sz w:val="20"/>
          <w:szCs w:val="20"/>
          <w:lang w:eastAsia="en-GB"/>
        </w:rPr>
        <w:t xml:space="preserve">Submitted documents should be clearly marked </w:t>
      </w:r>
      <w:r w:rsidRPr="00280594">
        <w:rPr>
          <w:rFonts w:ascii="Maiandra GD" w:eastAsia="Times New Roman" w:hAnsi="Maiandra GD" w:cs="Times New Roman"/>
          <w:b/>
          <w:snapToGrid w:val="0"/>
          <w:color w:val="000000"/>
          <w:sz w:val="20"/>
          <w:szCs w:val="20"/>
          <w:lang w:eastAsia="en-GB"/>
        </w:rPr>
        <w:t>‘</w:t>
      </w:r>
      <w:r w:rsidR="00280594" w:rsidRPr="00280594">
        <w:rPr>
          <w:rFonts w:ascii="Maiandra GD" w:eastAsia="Calibri" w:hAnsi="Maiandra GD" w:cs="Times New Roman"/>
          <w:b/>
          <w:bCs/>
          <w:sz w:val="20"/>
          <w:szCs w:val="20"/>
        </w:rPr>
        <w:t>EXPRESSION OF INTEREST FOR PROVISION OF LEAD CONSULTANCY SERVICES FOR KENYA’S COUNTRY STRUCTURAL VULNERABILITY AND RESILIENCE ASSESMENT PROCESS</w:t>
      </w:r>
      <w:r w:rsidR="00BB4EC3" w:rsidRPr="00280594">
        <w:rPr>
          <w:rFonts w:ascii="Maiandra GD" w:eastAsia="Times New Roman" w:hAnsi="Maiandra GD" w:cs="Times New Roman"/>
          <w:b/>
          <w:bCs/>
          <w:snapToGrid w:val="0"/>
          <w:color w:val="000000"/>
          <w:sz w:val="20"/>
          <w:szCs w:val="20"/>
          <w:lang w:val="en-GB" w:eastAsia="en-GB"/>
        </w:rPr>
        <w:t xml:space="preserve">. </w:t>
      </w:r>
      <w:r w:rsidR="001A4A92" w:rsidRPr="00280594">
        <w:rPr>
          <w:rFonts w:ascii="Maiandra GD" w:eastAsia="Times New Roman" w:hAnsi="Maiandra GD" w:cs="Times New Roman"/>
          <w:b/>
          <w:bCs/>
          <w:snapToGrid w:val="0"/>
          <w:color w:val="000000"/>
          <w:sz w:val="20"/>
          <w:szCs w:val="20"/>
          <w:lang w:eastAsia="en-GB"/>
        </w:rPr>
        <w:t xml:space="preserve"> </w:t>
      </w:r>
      <w:r w:rsidR="001E5920" w:rsidRPr="00280594">
        <w:rPr>
          <w:rFonts w:ascii="Maiandra GD" w:hAnsi="Maiandra GD"/>
          <w:snapToGrid w:val="0"/>
          <w:color w:val="000000" w:themeColor="text1"/>
          <w:sz w:val="20"/>
          <w:szCs w:val="20"/>
          <w:lang w:eastAsia="en-GB"/>
        </w:rPr>
        <w:t>The expressions of interest shall thereafter be opened in public at</w:t>
      </w:r>
      <w:r w:rsidR="00DD1472" w:rsidRPr="00280594">
        <w:rPr>
          <w:rFonts w:ascii="Maiandra GD" w:hAnsi="Maiandra GD"/>
          <w:snapToGrid w:val="0"/>
          <w:color w:val="000000" w:themeColor="text1"/>
          <w:sz w:val="20"/>
          <w:szCs w:val="20"/>
          <w:lang w:eastAsia="en-GB"/>
        </w:rPr>
        <w:t xml:space="preserve"> Old Treasury </w:t>
      </w:r>
      <w:r w:rsidR="00280594" w:rsidRPr="00280594">
        <w:rPr>
          <w:rFonts w:ascii="Maiandra GD" w:hAnsi="Maiandra GD"/>
          <w:snapToGrid w:val="0"/>
          <w:color w:val="000000" w:themeColor="text1"/>
          <w:sz w:val="20"/>
          <w:szCs w:val="20"/>
          <w:lang w:eastAsia="en-GB"/>
        </w:rPr>
        <w:t>B</w:t>
      </w:r>
      <w:r w:rsidR="001A4A92" w:rsidRPr="00280594">
        <w:rPr>
          <w:rFonts w:ascii="Maiandra GD" w:hAnsi="Maiandra GD"/>
          <w:snapToGrid w:val="0"/>
          <w:color w:val="000000" w:themeColor="text1"/>
          <w:sz w:val="20"/>
          <w:szCs w:val="20"/>
          <w:lang w:eastAsia="en-GB"/>
        </w:rPr>
        <w:t>uilding Boardroom in</w:t>
      </w:r>
      <w:r w:rsidR="001E5920" w:rsidRPr="00280594">
        <w:rPr>
          <w:rFonts w:ascii="Maiandra GD" w:hAnsi="Maiandra GD"/>
          <w:snapToGrid w:val="0"/>
          <w:color w:val="000000" w:themeColor="text1"/>
          <w:sz w:val="20"/>
          <w:szCs w:val="20"/>
          <w:lang w:eastAsia="en-GB"/>
        </w:rPr>
        <w:t xml:space="preserve"> the presence of applicants or their representatives who</w:t>
      </w:r>
      <w:r w:rsidR="002E1EBA" w:rsidRPr="00280594">
        <w:rPr>
          <w:rFonts w:ascii="Maiandra GD" w:hAnsi="Maiandra GD"/>
          <w:snapToGrid w:val="0"/>
          <w:color w:val="000000" w:themeColor="text1"/>
          <w:sz w:val="20"/>
          <w:szCs w:val="20"/>
          <w:lang w:eastAsia="en-GB"/>
        </w:rPr>
        <w:t xml:space="preserve"> will</w:t>
      </w:r>
      <w:r w:rsidR="001E5920" w:rsidRPr="00280594">
        <w:rPr>
          <w:rFonts w:ascii="Maiandra GD" w:hAnsi="Maiandra GD"/>
          <w:snapToGrid w:val="0"/>
          <w:color w:val="000000" w:themeColor="text1"/>
          <w:sz w:val="20"/>
          <w:szCs w:val="20"/>
          <w:lang w:eastAsia="en-GB"/>
        </w:rPr>
        <w:t xml:space="preserve"> chose to attend. </w:t>
      </w:r>
    </w:p>
    <w:p w14:paraId="2D55B4CD" w14:textId="77777777" w:rsidR="002C7263" w:rsidRPr="00280594" w:rsidRDefault="002C7263" w:rsidP="00D350A5">
      <w:pPr>
        <w:tabs>
          <w:tab w:val="left" w:pos="2161"/>
        </w:tabs>
        <w:spacing w:after="0" w:line="20" w:lineRule="atLeast"/>
        <w:jc w:val="both"/>
        <w:rPr>
          <w:rFonts w:ascii="Maiandra GD" w:eastAsia="Times New Roman" w:hAnsi="Maiandra GD" w:cs="Times New Roman"/>
          <w:b/>
          <w:snapToGrid w:val="0"/>
          <w:color w:val="000000"/>
          <w:sz w:val="20"/>
          <w:szCs w:val="20"/>
          <w:lang w:eastAsia="en-GB"/>
        </w:rPr>
      </w:pPr>
    </w:p>
    <w:p w14:paraId="6DC60545" w14:textId="77777777" w:rsidR="00F86C0C" w:rsidRPr="00280594" w:rsidRDefault="00F86C0C" w:rsidP="00D350A5">
      <w:pPr>
        <w:spacing w:after="0"/>
        <w:jc w:val="both"/>
        <w:rPr>
          <w:rFonts w:ascii="Maiandra GD" w:eastAsia="Times New Roman" w:hAnsi="Maiandra GD" w:cs="Times New Roman"/>
          <w:b/>
          <w:snapToGrid w:val="0"/>
          <w:color w:val="000000"/>
          <w:sz w:val="20"/>
          <w:szCs w:val="20"/>
          <w:lang w:eastAsia="en-GB"/>
        </w:rPr>
      </w:pPr>
    </w:p>
    <w:p w14:paraId="1EA8A7BB" w14:textId="77777777" w:rsidR="00F86C0C" w:rsidRPr="00280594" w:rsidRDefault="00F86C0C" w:rsidP="00D350A5">
      <w:pPr>
        <w:spacing w:after="0"/>
        <w:jc w:val="both"/>
        <w:rPr>
          <w:rFonts w:ascii="Maiandra GD" w:eastAsia="Times New Roman" w:hAnsi="Maiandra GD" w:cs="Times New Roman"/>
          <w:b/>
          <w:snapToGrid w:val="0"/>
          <w:color w:val="000000"/>
          <w:sz w:val="20"/>
          <w:szCs w:val="20"/>
          <w:lang w:eastAsia="en-GB"/>
        </w:rPr>
      </w:pPr>
    </w:p>
    <w:p w14:paraId="37B70C68" w14:textId="77777777" w:rsidR="00F86C0C" w:rsidRPr="00280594" w:rsidRDefault="00F86C0C" w:rsidP="00D350A5">
      <w:pPr>
        <w:spacing w:after="0"/>
        <w:jc w:val="both"/>
        <w:rPr>
          <w:rFonts w:ascii="Maiandra GD" w:eastAsia="Times New Roman" w:hAnsi="Maiandra GD" w:cs="Times New Roman"/>
          <w:b/>
          <w:snapToGrid w:val="0"/>
          <w:color w:val="000000"/>
          <w:sz w:val="20"/>
          <w:szCs w:val="20"/>
          <w:lang w:eastAsia="en-GB"/>
        </w:rPr>
      </w:pPr>
    </w:p>
    <w:p w14:paraId="63A1CE75" w14:textId="785406ED" w:rsidR="00202261" w:rsidRPr="00280594" w:rsidRDefault="00FF0FB7" w:rsidP="00D350A5">
      <w:pPr>
        <w:spacing w:after="0"/>
        <w:jc w:val="both"/>
        <w:rPr>
          <w:rFonts w:ascii="Maiandra GD" w:eastAsia="Times New Roman" w:hAnsi="Maiandra GD" w:cs="Times New Roman"/>
          <w:b/>
          <w:snapToGrid w:val="0"/>
          <w:color w:val="000000"/>
          <w:sz w:val="20"/>
          <w:szCs w:val="20"/>
          <w:lang w:eastAsia="en-GB"/>
        </w:rPr>
      </w:pPr>
      <w:r w:rsidRPr="00280594">
        <w:rPr>
          <w:rFonts w:ascii="Maiandra GD" w:eastAsia="Times New Roman" w:hAnsi="Maiandra GD" w:cs="Times New Roman"/>
          <w:b/>
          <w:snapToGrid w:val="0"/>
          <w:color w:val="000000"/>
          <w:sz w:val="20"/>
          <w:szCs w:val="20"/>
          <w:lang w:eastAsia="en-GB"/>
        </w:rPr>
        <w:t>Principal Secretary</w:t>
      </w:r>
    </w:p>
    <w:p w14:paraId="4B166EC7" w14:textId="2DF1A355" w:rsidR="002E1EBA" w:rsidRPr="00FF0FB7" w:rsidRDefault="00FF0FB7" w:rsidP="00D350A5">
      <w:pPr>
        <w:spacing w:after="0"/>
        <w:jc w:val="both"/>
        <w:rPr>
          <w:rFonts w:ascii="Maiandra GD" w:eastAsia="Times New Roman" w:hAnsi="Maiandra GD" w:cs="Times New Roman"/>
          <w:b/>
          <w:snapToGrid w:val="0"/>
          <w:color w:val="000000"/>
          <w:sz w:val="20"/>
          <w:szCs w:val="20"/>
          <w:lang w:eastAsia="en-GB"/>
        </w:rPr>
      </w:pPr>
      <w:r w:rsidRPr="00FF0FB7">
        <w:rPr>
          <w:rFonts w:ascii="Maiandra GD" w:eastAsia="Times New Roman" w:hAnsi="Maiandra GD" w:cs="Times New Roman"/>
          <w:b/>
          <w:snapToGrid w:val="0"/>
          <w:color w:val="000000"/>
          <w:sz w:val="20"/>
          <w:szCs w:val="20"/>
          <w:lang w:eastAsia="en-GB"/>
        </w:rPr>
        <w:t>STATE DEPARTMENT FOR FOREIGN AFF</w:t>
      </w:r>
      <w:bookmarkStart w:id="1" w:name="_GoBack"/>
      <w:bookmarkEnd w:id="1"/>
      <w:r w:rsidRPr="00FF0FB7">
        <w:rPr>
          <w:rFonts w:ascii="Maiandra GD" w:eastAsia="Times New Roman" w:hAnsi="Maiandra GD" w:cs="Times New Roman"/>
          <w:b/>
          <w:snapToGrid w:val="0"/>
          <w:color w:val="000000"/>
          <w:sz w:val="20"/>
          <w:szCs w:val="20"/>
          <w:lang w:eastAsia="en-GB"/>
        </w:rPr>
        <w:t>AIRS</w:t>
      </w:r>
    </w:p>
    <w:sectPr w:rsidR="002E1EBA" w:rsidRPr="00FF0FB7" w:rsidSect="007C69E9">
      <w:pgSz w:w="11907" w:h="16839" w:code="9"/>
      <w:pgMar w:top="1152" w:right="1152" w:bottom="1152" w:left="1152" w:header="720" w:footer="1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C4527" w14:textId="77777777" w:rsidR="00C71449" w:rsidRDefault="00C71449" w:rsidP="00723817">
      <w:pPr>
        <w:spacing w:after="0" w:line="240" w:lineRule="auto"/>
      </w:pPr>
      <w:r>
        <w:separator/>
      </w:r>
    </w:p>
  </w:endnote>
  <w:endnote w:type="continuationSeparator" w:id="0">
    <w:p w14:paraId="2C496DD9" w14:textId="77777777" w:rsidR="00C71449" w:rsidRDefault="00C71449" w:rsidP="0072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Sans Serif Collection"/>
    <w:charset w:val="00"/>
    <w:family w:val="swiss"/>
    <w:pitch w:val="variable"/>
    <w:sig w:usb0="00000001"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9CE73" w14:textId="77777777" w:rsidR="00C71449" w:rsidRDefault="00C71449" w:rsidP="00723817">
      <w:pPr>
        <w:spacing w:after="0" w:line="240" w:lineRule="auto"/>
      </w:pPr>
      <w:r>
        <w:separator/>
      </w:r>
    </w:p>
  </w:footnote>
  <w:footnote w:type="continuationSeparator" w:id="0">
    <w:p w14:paraId="75C2F711" w14:textId="77777777" w:rsidR="00C71449" w:rsidRDefault="00C71449" w:rsidP="00723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34A8"/>
    <w:multiLevelType w:val="multilevel"/>
    <w:tmpl w:val="B204DEDC"/>
    <w:lvl w:ilvl="0">
      <w:start w:val="1"/>
      <w:numFmt w:val="decimal"/>
      <w:lvlText w:val="%1.0"/>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198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8B0774"/>
    <w:multiLevelType w:val="hybridMultilevel"/>
    <w:tmpl w:val="19AE78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51A00"/>
    <w:multiLevelType w:val="hybridMultilevel"/>
    <w:tmpl w:val="1804A212"/>
    <w:lvl w:ilvl="0" w:tplc="66A8AB0A">
      <w:start w:val="1"/>
      <w:numFmt w:val="decimal"/>
      <w:lvlText w:val="%1."/>
      <w:lvlJc w:val="left"/>
      <w:pPr>
        <w:ind w:left="360" w:hanging="360"/>
      </w:pPr>
      <w:rPr>
        <w:rFonts w:hint="default"/>
        <w:color w:val="3838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482C06"/>
    <w:multiLevelType w:val="hybridMultilevel"/>
    <w:tmpl w:val="5A8620A4"/>
    <w:lvl w:ilvl="0" w:tplc="1EC23DE4">
      <w:start w:val="1"/>
      <w:numFmt w:val="lowerLetter"/>
      <w:lvlText w:val="%1)"/>
      <w:lvlJc w:val="left"/>
      <w:pPr>
        <w:ind w:left="360" w:hanging="360"/>
      </w:pPr>
      <w:rPr>
        <w:rFonts w:hint="default"/>
        <w:b/>
        <w:bCs/>
        <w:w w:val="99"/>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5797B"/>
    <w:multiLevelType w:val="multilevel"/>
    <w:tmpl w:val="74A4382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1B0B38C6"/>
    <w:multiLevelType w:val="hybridMultilevel"/>
    <w:tmpl w:val="96105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CD2381"/>
    <w:multiLevelType w:val="multilevel"/>
    <w:tmpl w:val="6890E838"/>
    <w:lvl w:ilvl="0">
      <w:start w:val="1"/>
      <w:numFmt w:val="lowerRoman"/>
      <w:lvlText w:val="%1."/>
      <w:lvlJc w:val="righ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AF0C17"/>
    <w:multiLevelType w:val="multilevel"/>
    <w:tmpl w:val="25DAA3A6"/>
    <w:lvl w:ilvl="0">
      <w:start w:val="1"/>
      <w:numFmt w:val="decimal"/>
      <w:lvlText w:val="%1."/>
      <w:lvlJc w:val="left"/>
      <w:pPr>
        <w:tabs>
          <w:tab w:val="num" w:pos="3420"/>
        </w:tabs>
        <w:ind w:left="3420" w:hanging="360"/>
      </w:pPr>
      <w:rPr>
        <w:b/>
        <w:bCs/>
      </w:rPr>
    </w:lvl>
    <w:lvl w:ilvl="1">
      <w:start w:val="1"/>
      <w:numFmt w:val="decimal"/>
      <w:lvlText w:val="%2."/>
      <w:lvlJc w:val="left"/>
      <w:pPr>
        <w:tabs>
          <w:tab w:val="num" w:pos="4140"/>
        </w:tabs>
        <w:ind w:left="4140" w:hanging="360"/>
      </w:pPr>
    </w:lvl>
    <w:lvl w:ilvl="2" w:tentative="1">
      <w:start w:val="1"/>
      <w:numFmt w:val="decimal"/>
      <w:lvlText w:val="%3."/>
      <w:lvlJc w:val="left"/>
      <w:pPr>
        <w:tabs>
          <w:tab w:val="num" w:pos="4860"/>
        </w:tabs>
        <w:ind w:left="4860" w:hanging="360"/>
      </w:pPr>
    </w:lvl>
    <w:lvl w:ilvl="3" w:tentative="1">
      <w:start w:val="1"/>
      <w:numFmt w:val="decimal"/>
      <w:lvlText w:val="%4."/>
      <w:lvlJc w:val="left"/>
      <w:pPr>
        <w:tabs>
          <w:tab w:val="num" w:pos="5580"/>
        </w:tabs>
        <w:ind w:left="5580" w:hanging="360"/>
      </w:pPr>
    </w:lvl>
    <w:lvl w:ilvl="4" w:tentative="1">
      <w:start w:val="1"/>
      <w:numFmt w:val="decimal"/>
      <w:lvlText w:val="%5."/>
      <w:lvlJc w:val="left"/>
      <w:pPr>
        <w:tabs>
          <w:tab w:val="num" w:pos="6300"/>
        </w:tabs>
        <w:ind w:left="6300" w:hanging="360"/>
      </w:pPr>
    </w:lvl>
    <w:lvl w:ilvl="5" w:tentative="1">
      <w:start w:val="1"/>
      <w:numFmt w:val="decimal"/>
      <w:lvlText w:val="%6."/>
      <w:lvlJc w:val="left"/>
      <w:pPr>
        <w:tabs>
          <w:tab w:val="num" w:pos="7020"/>
        </w:tabs>
        <w:ind w:left="7020" w:hanging="360"/>
      </w:pPr>
    </w:lvl>
    <w:lvl w:ilvl="6" w:tentative="1">
      <w:start w:val="1"/>
      <w:numFmt w:val="decimal"/>
      <w:lvlText w:val="%7."/>
      <w:lvlJc w:val="left"/>
      <w:pPr>
        <w:tabs>
          <w:tab w:val="num" w:pos="7740"/>
        </w:tabs>
        <w:ind w:left="7740" w:hanging="360"/>
      </w:pPr>
    </w:lvl>
    <w:lvl w:ilvl="7" w:tentative="1">
      <w:start w:val="1"/>
      <w:numFmt w:val="decimal"/>
      <w:lvlText w:val="%8."/>
      <w:lvlJc w:val="left"/>
      <w:pPr>
        <w:tabs>
          <w:tab w:val="num" w:pos="8460"/>
        </w:tabs>
        <w:ind w:left="8460" w:hanging="360"/>
      </w:pPr>
    </w:lvl>
    <w:lvl w:ilvl="8" w:tentative="1">
      <w:start w:val="1"/>
      <w:numFmt w:val="decimal"/>
      <w:lvlText w:val="%9."/>
      <w:lvlJc w:val="left"/>
      <w:pPr>
        <w:tabs>
          <w:tab w:val="num" w:pos="9180"/>
        </w:tabs>
        <w:ind w:left="9180" w:hanging="360"/>
      </w:pPr>
    </w:lvl>
  </w:abstractNum>
  <w:abstractNum w:abstractNumId="8" w15:restartNumberingAfterBreak="0">
    <w:nsid w:val="1DCB2982"/>
    <w:multiLevelType w:val="hybridMultilevel"/>
    <w:tmpl w:val="28188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054E0"/>
    <w:multiLevelType w:val="hybridMultilevel"/>
    <w:tmpl w:val="BBAA1E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C336A9"/>
    <w:multiLevelType w:val="multilevel"/>
    <w:tmpl w:val="9AAE7D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7C01E54"/>
    <w:multiLevelType w:val="multilevel"/>
    <w:tmpl w:val="76F892A8"/>
    <w:lvl w:ilvl="0">
      <w:start w:val="1"/>
      <w:numFmt w:val="lowerRoman"/>
      <w:lvlText w:val="%1."/>
      <w:lvlJc w:val="righ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081593"/>
    <w:multiLevelType w:val="hybridMultilevel"/>
    <w:tmpl w:val="8146F19C"/>
    <w:lvl w:ilvl="0" w:tplc="0DD4CD9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42C9E"/>
    <w:multiLevelType w:val="hybridMultilevel"/>
    <w:tmpl w:val="72BC32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E01E9"/>
    <w:multiLevelType w:val="hybridMultilevel"/>
    <w:tmpl w:val="AB16F15C"/>
    <w:lvl w:ilvl="0" w:tplc="1272037E">
      <w:start w:val="1"/>
      <w:numFmt w:val="lowerRoman"/>
      <w:lvlText w:val="%1."/>
      <w:lvlJc w:val="left"/>
      <w:pPr>
        <w:ind w:left="360" w:hanging="360"/>
      </w:pPr>
      <w:rPr>
        <w:rFonts w:ascii="Century Gothic" w:eastAsia="Times New Roman" w:hAnsi="Century Gothic" w:cs="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EF4357"/>
    <w:multiLevelType w:val="multilevel"/>
    <w:tmpl w:val="4386F7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6A91D2C"/>
    <w:multiLevelType w:val="hybridMultilevel"/>
    <w:tmpl w:val="DBA841D6"/>
    <w:lvl w:ilvl="0" w:tplc="0DF4C94A">
      <w:start w:val="1"/>
      <w:numFmt w:val="lowerRoman"/>
      <w:lvlText w:val="%1."/>
      <w:lvlJc w:val="left"/>
      <w:pPr>
        <w:ind w:left="360" w:hanging="360"/>
      </w:pPr>
      <w:rPr>
        <w:rFonts w:ascii="Century Gothic" w:eastAsia="Times New Roman" w:hAnsi="Century Gothic" w:cs="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404888"/>
    <w:multiLevelType w:val="hybridMultilevel"/>
    <w:tmpl w:val="1804A212"/>
    <w:lvl w:ilvl="0" w:tplc="66A8AB0A">
      <w:start w:val="1"/>
      <w:numFmt w:val="decimal"/>
      <w:lvlText w:val="%1."/>
      <w:lvlJc w:val="left"/>
      <w:pPr>
        <w:ind w:left="360" w:hanging="360"/>
      </w:pPr>
      <w:rPr>
        <w:rFonts w:hint="default"/>
        <w:color w:val="3838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833468"/>
    <w:multiLevelType w:val="multilevel"/>
    <w:tmpl w:val="9AAE7D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8E5911"/>
    <w:multiLevelType w:val="hybridMultilevel"/>
    <w:tmpl w:val="698EE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117B3B"/>
    <w:multiLevelType w:val="hybridMultilevel"/>
    <w:tmpl w:val="2F149528"/>
    <w:lvl w:ilvl="0" w:tplc="FFFFFFFF">
      <w:start w:val="1"/>
      <w:numFmt w:val="lowerLetter"/>
      <w:lvlText w:val="%1)"/>
      <w:lvlJc w:val="left"/>
      <w:pPr>
        <w:ind w:left="360" w:hanging="360"/>
      </w:pPr>
      <w:rPr>
        <w:rFonts w:hint="default"/>
        <w:b/>
        <w:bCs/>
        <w:w w:val="99"/>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362B9F"/>
    <w:multiLevelType w:val="hybridMultilevel"/>
    <w:tmpl w:val="15501AA8"/>
    <w:lvl w:ilvl="0" w:tplc="9618A99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A14506"/>
    <w:multiLevelType w:val="hybridMultilevel"/>
    <w:tmpl w:val="51B061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028D6"/>
    <w:multiLevelType w:val="hybridMultilevel"/>
    <w:tmpl w:val="B3A43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354EAA"/>
    <w:multiLevelType w:val="hybridMultilevel"/>
    <w:tmpl w:val="4A74A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244D9"/>
    <w:multiLevelType w:val="hybridMultilevel"/>
    <w:tmpl w:val="F074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90BB9"/>
    <w:multiLevelType w:val="hybridMultilevel"/>
    <w:tmpl w:val="92DC9066"/>
    <w:lvl w:ilvl="0" w:tplc="1E9EEF2E">
      <w:start w:val="1"/>
      <w:numFmt w:val="decimal"/>
      <w:lvlText w:val="%1."/>
      <w:lvlJc w:val="left"/>
      <w:pPr>
        <w:ind w:left="360" w:hanging="360"/>
      </w:pPr>
      <w:rPr>
        <w:rFonts w:ascii="Candara" w:eastAsia="Calibri" w:hAnsi="Candar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9B42A4"/>
    <w:multiLevelType w:val="hybridMultilevel"/>
    <w:tmpl w:val="4F001BEE"/>
    <w:lvl w:ilvl="0" w:tplc="F294D664">
      <w:start w:val="1"/>
      <w:numFmt w:val="upperRoman"/>
      <w:lvlText w:val="%1."/>
      <w:lvlJc w:val="left"/>
      <w:pPr>
        <w:ind w:left="360" w:hanging="360"/>
      </w:pPr>
      <w:rPr>
        <w:rFonts w:ascii="Century Gothic" w:eastAsia="Times New Roman" w:hAnsi="Century Gothic"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7A2D66"/>
    <w:multiLevelType w:val="hybridMultilevel"/>
    <w:tmpl w:val="D1900FDA"/>
    <w:lvl w:ilvl="0" w:tplc="68FE3524">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46C91"/>
    <w:multiLevelType w:val="hybridMultilevel"/>
    <w:tmpl w:val="52B2C872"/>
    <w:lvl w:ilvl="0" w:tplc="787806BA">
      <w:start w:val="1"/>
      <w:numFmt w:val="lowerRoman"/>
      <w:lvlText w:val="%1."/>
      <w:lvlJc w:val="left"/>
      <w:pPr>
        <w:ind w:left="360" w:hanging="360"/>
      </w:pPr>
      <w:rPr>
        <w:rFonts w:ascii="Century Gothic" w:eastAsia="Times New Roman" w:hAnsi="Century Gothic"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25D1D"/>
    <w:multiLevelType w:val="hybridMultilevel"/>
    <w:tmpl w:val="01487E4A"/>
    <w:lvl w:ilvl="0" w:tplc="DDC8E14E">
      <w:start w:val="1"/>
      <w:numFmt w:val="decimal"/>
      <w:lvlText w:val="%1."/>
      <w:lvlJc w:val="left"/>
      <w:pPr>
        <w:ind w:left="720" w:hanging="360"/>
      </w:pPr>
      <w:rPr>
        <w:rFonts w:ascii="Source Sans Pro" w:hAnsi="Source Sans Pro" w:hint="default"/>
        <w:color w:val="383838"/>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A48B2"/>
    <w:multiLevelType w:val="hybridMultilevel"/>
    <w:tmpl w:val="3F5C3EC0"/>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9"/>
  </w:num>
  <w:num w:numId="5">
    <w:abstractNumId w:val="31"/>
  </w:num>
  <w:num w:numId="6">
    <w:abstractNumId w:val="14"/>
  </w:num>
  <w:num w:numId="7">
    <w:abstractNumId w:val="16"/>
  </w:num>
  <w:num w:numId="8">
    <w:abstractNumId w:val="6"/>
  </w:num>
  <w:num w:numId="9">
    <w:abstractNumId w:val="11"/>
  </w:num>
  <w:num w:numId="10">
    <w:abstractNumId w:val="26"/>
  </w:num>
  <w:num w:numId="11">
    <w:abstractNumId w:val="9"/>
  </w:num>
  <w:num w:numId="12">
    <w:abstractNumId w:val="13"/>
  </w:num>
  <w:num w:numId="13">
    <w:abstractNumId w:val="5"/>
  </w:num>
  <w:num w:numId="14">
    <w:abstractNumId w:val="22"/>
  </w:num>
  <w:num w:numId="15">
    <w:abstractNumId w:val="2"/>
  </w:num>
  <w:num w:numId="16">
    <w:abstractNumId w:val="28"/>
  </w:num>
  <w:num w:numId="17">
    <w:abstractNumId w:val="17"/>
  </w:num>
  <w:num w:numId="18">
    <w:abstractNumId w:val="21"/>
  </w:num>
  <w:num w:numId="19">
    <w:abstractNumId w:val="27"/>
  </w:num>
  <w:num w:numId="20">
    <w:abstractNumId w:val="19"/>
  </w:num>
  <w:num w:numId="21">
    <w:abstractNumId w:val="7"/>
  </w:num>
  <w:num w:numId="22">
    <w:abstractNumId w:val="4"/>
  </w:num>
  <w:num w:numId="23">
    <w:abstractNumId w:val="15"/>
  </w:num>
  <w:num w:numId="24">
    <w:abstractNumId w:val="10"/>
  </w:num>
  <w:num w:numId="25">
    <w:abstractNumId w:val="18"/>
  </w:num>
  <w:num w:numId="26">
    <w:abstractNumId w:val="3"/>
  </w:num>
  <w:num w:numId="27">
    <w:abstractNumId w:val="20"/>
  </w:num>
  <w:num w:numId="28">
    <w:abstractNumId w:val="12"/>
  </w:num>
  <w:num w:numId="29">
    <w:abstractNumId w:val="25"/>
  </w:num>
  <w:num w:numId="30">
    <w:abstractNumId w:val="8"/>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F2"/>
    <w:rsid w:val="00004113"/>
    <w:rsid w:val="00007355"/>
    <w:rsid w:val="000231B2"/>
    <w:rsid w:val="00023752"/>
    <w:rsid w:val="00023FDD"/>
    <w:rsid w:val="000335B0"/>
    <w:rsid w:val="00041460"/>
    <w:rsid w:val="00043D9E"/>
    <w:rsid w:val="000461DE"/>
    <w:rsid w:val="00047B24"/>
    <w:rsid w:val="00057138"/>
    <w:rsid w:val="000578FB"/>
    <w:rsid w:val="000E6175"/>
    <w:rsid w:val="000F2004"/>
    <w:rsid w:val="000F3620"/>
    <w:rsid w:val="00110ACB"/>
    <w:rsid w:val="001263B9"/>
    <w:rsid w:val="00135BD3"/>
    <w:rsid w:val="00137C2B"/>
    <w:rsid w:val="001610D9"/>
    <w:rsid w:val="001856AE"/>
    <w:rsid w:val="00193480"/>
    <w:rsid w:val="001A4A92"/>
    <w:rsid w:val="001B1A4A"/>
    <w:rsid w:val="001D0D2F"/>
    <w:rsid w:val="001D74FC"/>
    <w:rsid w:val="001E2902"/>
    <w:rsid w:val="001E5920"/>
    <w:rsid w:val="001E7801"/>
    <w:rsid w:val="00200370"/>
    <w:rsid w:val="00202261"/>
    <w:rsid w:val="00207343"/>
    <w:rsid w:val="00211EFC"/>
    <w:rsid w:val="00216FC6"/>
    <w:rsid w:val="002345CC"/>
    <w:rsid w:val="002368C6"/>
    <w:rsid w:val="00280594"/>
    <w:rsid w:val="002869F1"/>
    <w:rsid w:val="00286DC3"/>
    <w:rsid w:val="002A3A4B"/>
    <w:rsid w:val="002C6CBC"/>
    <w:rsid w:val="002C7263"/>
    <w:rsid w:val="002D0623"/>
    <w:rsid w:val="002D4006"/>
    <w:rsid w:val="002E02EE"/>
    <w:rsid w:val="002E1EBA"/>
    <w:rsid w:val="002F6CBC"/>
    <w:rsid w:val="00325AD8"/>
    <w:rsid w:val="0033282F"/>
    <w:rsid w:val="00333FA7"/>
    <w:rsid w:val="003435E1"/>
    <w:rsid w:val="00367C5A"/>
    <w:rsid w:val="00375D39"/>
    <w:rsid w:val="00380664"/>
    <w:rsid w:val="00386E68"/>
    <w:rsid w:val="003A59E5"/>
    <w:rsid w:val="003B2213"/>
    <w:rsid w:val="003B7456"/>
    <w:rsid w:val="003C308C"/>
    <w:rsid w:val="003E19F6"/>
    <w:rsid w:val="004009F2"/>
    <w:rsid w:val="00412A80"/>
    <w:rsid w:val="00413B02"/>
    <w:rsid w:val="00413DF4"/>
    <w:rsid w:val="00422F8E"/>
    <w:rsid w:val="00445ACB"/>
    <w:rsid w:val="004716AC"/>
    <w:rsid w:val="00476BBF"/>
    <w:rsid w:val="00482420"/>
    <w:rsid w:val="00490190"/>
    <w:rsid w:val="004B28A8"/>
    <w:rsid w:val="004C3204"/>
    <w:rsid w:val="004C372D"/>
    <w:rsid w:val="004C4307"/>
    <w:rsid w:val="004D5BF0"/>
    <w:rsid w:val="004F4BEB"/>
    <w:rsid w:val="004F7011"/>
    <w:rsid w:val="004F736C"/>
    <w:rsid w:val="00501C69"/>
    <w:rsid w:val="005206BC"/>
    <w:rsid w:val="005366A5"/>
    <w:rsid w:val="00536724"/>
    <w:rsid w:val="0054240B"/>
    <w:rsid w:val="00561225"/>
    <w:rsid w:val="005662B6"/>
    <w:rsid w:val="005745AA"/>
    <w:rsid w:val="00580F90"/>
    <w:rsid w:val="005821E4"/>
    <w:rsid w:val="00582A37"/>
    <w:rsid w:val="00583D60"/>
    <w:rsid w:val="0059713F"/>
    <w:rsid w:val="005A2FA2"/>
    <w:rsid w:val="005A43A4"/>
    <w:rsid w:val="005D4806"/>
    <w:rsid w:val="005D673F"/>
    <w:rsid w:val="005E102C"/>
    <w:rsid w:val="00605170"/>
    <w:rsid w:val="00614FBB"/>
    <w:rsid w:val="00624ED8"/>
    <w:rsid w:val="00640687"/>
    <w:rsid w:val="00654192"/>
    <w:rsid w:val="006674A7"/>
    <w:rsid w:val="00682D8C"/>
    <w:rsid w:val="006A0A1F"/>
    <w:rsid w:val="006A108C"/>
    <w:rsid w:val="006A5EC2"/>
    <w:rsid w:val="006B735C"/>
    <w:rsid w:val="006C470C"/>
    <w:rsid w:val="006D13E6"/>
    <w:rsid w:val="006D37A2"/>
    <w:rsid w:val="006D4FC8"/>
    <w:rsid w:val="0070038D"/>
    <w:rsid w:val="00722F11"/>
    <w:rsid w:val="00723817"/>
    <w:rsid w:val="007278CF"/>
    <w:rsid w:val="00740757"/>
    <w:rsid w:val="007424F3"/>
    <w:rsid w:val="00751F19"/>
    <w:rsid w:val="00763ED8"/>
    <w:rsid w:val="007978F7"/>
    <w:rsid w:val="00797B6A"/>
    <w:rsid w:val="007C69E9"/>
    <w:rsid w:val="007D0055"/>
    <w:rsid w:val="007D022D"/>
    <w:rsid w:val="007D6098"/>
    <w:rsid w:val="007E18FC"/>
    <w:rsid w:val="007E6655"/>
    <w:rsid w:val="007E7348"/>
    <w:rsid w:val="007F4C7C"/>
    <w:rsid w:val="007F4F9E"/>
    <w:rsid w:val="00825F49"/>
    <w:rsid w:val="00842595"/>
    <w:rsid w:val="008501B8"/>
    <w:rsid w:val="0086671C"/>
    <w:rsid w:val="0086734A"/>
    <w:rsid w:val="0087283E"/>
    <w:rsid w:val="0087299F"/>
    <w:rsid w:val="0087345A"/>
    <w:rsid w:val="0087770C"/>
    <w:rsid w:val="00887D01"/>
    <w:rsid w:val="008920CE"/>
    <w:rsid w:val="008A5ECF"/>
    <w:rsid w:val="008B132C"/>
    <w:rsid w:val="008C756F"/>
    <w:rsid w:val="008D04B0"/>
    <w:rsid w:val="008D5C53"/>
    <w:rsid w:val="008E3375"/>
    <w:rsid w:val="008F41A3"/>
    <w:rsid w:val="00902B79"/>
    <w:rsid w:val="00903A2B"/>
    <w:rsid w:val="00925753"/>
    <w:rsid w:val="00936004"/>
    <w:rsid w:val="00970EAE"/>
    <w:rsid w:val="00990214"/>
    <w:rsid w:val="009A53E6"/>
    <w:rsid w:val="009A65F1"/>
    <w:rsid w:val="009B47F8"/>
    <w:rsid w:val="009D3E81"/>
    <w:rsid w:val="009D6FD4"/>
    <w:rsid w:val="009F4058"/>
    <w:rsid w:val="00A132EC"/>
    <w:rsid w:val="00A1355A"/>
    <w:rsid w:val="00A16302"/>
    <w:rsid w:val="00A267B8"/>
    <w:rsid w:val="00A32E49"/>
    <w:rsid w:val="00A4349E"/>
    <w:rsid w:val="00A447AB"/>
    <w:rsid w:val="00A50FF3"/>
    <w:rsid w:val="00A5456A"/>
    <w:rsid w:val="00A55214"/>
    <w:rsid w:val="00A60CEE"/>
    <w:rsid w:val="00A72315"/>
    <w:rsid w:val="00A72ACC"/>
    <w:rsid w:val="00A819B0"/>
    <w:rsid w:val="00A849FE"/>
    <w:rsid w:val="00A935C8"/>
    <w:rsid w:val="00A975A3"/>
    <w:rsid w:val="00AA7177"/>
    <w:rsid w:val="00AC18B9"/>
    <w:rsid w:val="00AC721D"/>
    <w:rsid w:val="00AD03BE"/>
    <w:rsid w:val="00AD09E7"/>
    <w:rsid w:val="00AE3D68"/>
    <w:rsid w:val="00AE49B3"/>
    <w:rsid w:val="00AF6ABB"/>
    <w:rsid w:val="00B0029F"/>
    <w:rsid w:val="00B52C1C"/>
    <w:rsid w:val="00B53735"/>
    <w:rsid w:val="00B55C77"/>
    <w:rsid w:val="00B6765D"/>
    <w:rsid w:val="00B82098"/>
    <w:rsid w:val="00B901D4"/>
    <w:rsid w:val="00B946F4"/>
    <w:rsid w:val="00B9526F"/>
    <w:rsid w:val="00BA27AE"/>
    <w:rsid w:val="00BA5709"/>
    <w:rsid w:val="00BB070F"/>
    <w:rsid w:val="00BB4EC3"/>
    <w:rsid w:val="00BD3EA9"/>
    <w:rsid w:val="00BE22B5"/>
    <w:rsid w:val="00C03C4D"/>
    <w:rsid w:val="00C114B6"/>
    <w:rsid w:val="00C32A4A"/>
    <w:rsid w:val="00C43E4F"/>
    <w:rsid w:val="00C5067A"/>
    <w:rsid w:val="00C55AA9"/>
    <w:rsid w:val="00C658BB"/>
    <w:rsid w:val="00C662C3"/>
    <w:rsid w:val="00C71449"/>
    <w:rsid w:val="00C922E3"/>
    <w:rsid w:val="00C97B9D"/>
    <w:rsid w:val="00CA022E"/>
    <w:rsid w:val="00CB36F8"/>
    <w:rsid w:val="00CB66DE"/>
    <w:rsid w:val="00CC466B"/>
    <w:rsid w:val="00CC7225"/>
    <w:rsid w:val="00CD1B7C"/>
    <w:rsid w:val="00CE1FB1"/>
    <w:rsid w:val="00CF5DC4"/>
    <w:rsid w:val="00CF6655"/>
    <w:rsid w:val="00CF7BB9"/>
    <w:rsid w:val="00D10144"/>
    <w:rsid w:val="00D1081E"/>
    <w:rsid w:val="00D16D9C"/>
    <w:rsid w:val="00D255A0"/>
    <w:rsid w:val="00D350A5"/>
    <w:rsid w:val="00D57156"/>
    <w:rsid w:val="00D668AF"/>
    <w:rsid w:val="00D73DF2"/>
    <w:rsid w:val="00D76B21"/>
    <w:rsid w:val="00D90597"/>
    <w:rsid w:val="00D94BB0"/>
    <w:rsid w:val="00DA30F4"/>
    <w:rsid w:val="00DA4165"/>
    <w:rsid w:val="00DA75A0"/>
    <w:rsid w:val="00DB0627"/>
    <w:rsid w:val="00DB60CD"/>
    <w:rsid w:val="00DC07E5"/>
    <w:rsid w:val="00DC317C"/>
    <w:rsid w:val="00DC3268"/>
    <w:rsid w:val="00DC5710"/>
    <w:rsid w:val="00DD1472"/>
    <w:rsid w:val="00DD48EF"/>
    <w:rsid w:val="00DD4E2B"/>
    <w:rsid w:val="00DE42D0"/>
    <w:rsid w:val="00E00232"/>
    <w:rsid w:val="00E16D1F"/>
    <w:rsid w:val="00E31192"/>
    <w:rsid w:val="00E52E10"/>
    <w:rsid w:val="00E575DF"/>
    <w:rsid w:val="00E622A5"/>
    <w:rsid w:val="00E70150"/>
    <w:rsid w:val="00E77C04"/>
    <w:rsid w:val="00E91450"/>
    <w:rsid w:val="00EA3F61"/>
    <w:rsid w:val="00ED684A"/>
    <w:rsid w:val="00EE2073"/>
    <w:rsid w:val="00EE6DDE"/>
    <w:rsid w:val="00F0143E"/>
    <w:rsid w:val="00F07147"/>
    <w:rsid w:val="00F115D5"/>
    <w:rsid w:val="00F279F5"/>
    <w:rsid w:val="00F3164B"/>
    <w:rsid w:val="00F50EDB"/>
    <w:rsid w:val="00F75D46"/>
    <w:rsid w:val="00F86C0C"/>
    <w:rsid w:val="00F95C5D"/>
    <w:rsid w:val="00FA0A26"/>
    <w:rsid w:val="00FA6BC5"/>
    <w:rsid w:val="00FB12E0"/>
    <w:rsid w:val="00FB3428"/>
    <w:rsid w:val="00FB5F97"/>
    <w:rsid w:val="00FC4DDD"/>
    <w:rsid w:val="00FC6DE2"/>
    <w:rsid w:val="00FD37B5"/>
    <w:rsid w:val="00FD74CA"/>
    <w:rsid w:val="00FE40D2"/>
    <w:rsid w:val="00FE6575"/>
    <w:rsid w:val="00FF0FB7"/>
    <w:rsid w:val="00FF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20F2"/>
  <w15:docId w15:val="{7137C10E-8C42-4A45-922D-BF2A09D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752"/>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022D"/>
    <w:rPr>
      <w:color w:val="0563C1" w:themeColor="hyperlink"/>
      <w:u w:val="single"/>
    </w:rPr>
  </w:style>
  <w:style w:type="paragraph" w:styleId="NormalWeb">
    <w:name w:val="Normal (Web)"/>
    <w:basedOn w:val="Normal"/>
    <w:uiPriority w:val="99"/>
    <w:unhideWhenUsed/>
    <w:rsid w:val="00386E6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45A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2E0"/>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7263"/>
    <w:rPr>
      <w:color w:val="605E5C"/>
      <w:shd w:val="clear" w:color="auto" w:fill="E1DFDD"/>
    </w:rPr>
  </w:style>
  <w:style w:type="character" w:customStyle="1" w:styleId="UnresolvedMention">
    <w:name w:val="Unresolved Mention"/>
    <w:basedOn w:val="DefaultParagraphFont"/>
    <w:uiPriority w:val="99"/>
    <w:semiHidden/>
    <w:unhideWhenUsed/>
    <w:rsid w:val="007F4C7C"/>
    <w:rPr>
      <w:color w:val="605E5C"/>
      <w:shd w:val="clear" w:color="auto" w:fill="E1DFDD"/>
    </w:rPr>
  </w:style>
  <w:style w:type="character" w:styleId="FootnoteReference">
    <w:name w:val="footnote reference"/>
    <w:basedOn w:val="DefaultParagraphFont"/>
    <w:uiPriority w:val="99"/>
    <w:unhideWhenUsed/>
    <w:qFormat/>
    <w:rsid w:val="007C69E9"/>
    <w:rPr>
      <w:vertAlign w:val="superscript"/>
    </w:rPr>
  </w:style>
  <w:style w:type="paragraph" w:styleId="Header">
    <w:name w:val="header"/>
    <w:basedOn w:val="Normal"/>
    <w:link w:val="HeaderChar"/>
    <w:uiPriority w:val="99"/>
    <w:unhideWhenUsed/>
    <w:rsid w:val="007C6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E9"/>
  </w:style>
  <w:style w:type="paragraph" w:styleId="Footer">
    <w:name w:val="footer"/>
    <w:basedOn w:val="Normal"/>
    <w:link w:val="FooterChar"/>
    <w:uiPriority w:val="99"/>
    <w:unhideWhenUsed/>
    <w:rsid w:val="007C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9E9"/>
  </w:style>
  <w:style w:type="paragraph" w:styleId="BodyText">
    <w:name w:val="Body Text"/>
    <w:basedOn w:val="Normal"/>
    <w:link w:val="BodyTextChar"/>
    <w:rsid w:val="00DC317C"/>
    <w:pPr>
      <w:spacing w:after="0" w:line="240" w:lineRule="auto"/>
      <w:jc w:val="both"/>
    </w:pPr>
    <w:rPr>
      <w:rFonts w:ascii="Tahoma" w:eastAsia="Times New Roman" w:hAnsi="Tahoma" w:cs="Tahoma"/>
      <w:sz w:val="28"/>
      <w:szCs w:val="24"/>
    </w:rPr>
  </w:style>
  <w:style w:type="character" w:customStyle="1" w:styleId="BodyTextChar">
    <w:name w:val="Body Text Char"/>
    <w:basedOn w:val="DefaultParagraphFont"/>
    <w:link w:val="BodyText"/>
    <w:rsid w:val="00DC317C"/>
    <w:rPr>
      <w:rFonts w:ascii="Tahoma" w:eastAsia="Times New Roman" w:hAnsi="Tahoma" w:cs="Tahom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onomic@mfa.go.ke%20/%20economicaffairs2018@gmail.com" TargetMode="External"/><Relationship Id="rId5" Type="http://schemas.openxmlformats.org/officeDocument/2006/relationships/footnotes" Target="footnotes.xml"/><Relationship Id="rId10" Type="http://schemas.openxmlformats.org/officeDocument/2006/relationships/hyperlink" Target="http://www.mfa.go.k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Pancras Ngati</dc:creator>
  <cp:lastModifiedBy>Supply Chain</cp:lastModifiedBy>
  <cp:revision>14</cp:revision>
  <cp:lastPrinted>2025-10-22T12:43:00Z</cp:lastPrinted>
  <dcterms:created xsi:type="dcterms:W3CDTF">2025-09-09T15:09:00Z</dcterms:created>
  <dcterms:modified xsi:type="dcterms:W3CDTF">2025-10-28T11:47:00Z</dcterms:modified>
</cp:coreProperties>
</file>